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4CAA" w14:textId="77777777" w:rsidR="00BC63C0" w:rsidRPr="00BC63C0" w:rsidRDefault="00BC63C0" w:rsidP="00BC63C0">
      <w:pPr>
        <w:shd w:val="clear" w:color="auto" w:fill="FFFFFF"/>
        <w:spacing w:after="240"/>
        <w:jc w:val="both"/>
        <w:outlineLvl w:val="0"/>
        <w:rPr>
          <w:rFonts w:cs="Arial"/>
          <w:b/>
          <w:bCs/>
          <w:caps/>
          <w:color w:val="000000"/>
          <w:kern w:val="36"/>
          <w:sz w:val="28"/>
          <w:szCs w:val="28"/>
        </w:rPr>
      </w:pPr>
      <w:r w:rsidRPr="00BC63C0">
        <w:rPr>
          <w:rFonts w:cs="Arial"/>
          <w:b/>
          <w:bCs/>
          <w:caps/>
          <w:color w:val="000000"/>
          <w:kern w:val="36"/>
          <w:sz w:val="28"/>
          <w:szCs w:val="28"/>
        </w:rPr>
        <w:t>koko kehon aineenvaihdunnan pet-tt, jn5dr</w:t>
      </w:r>
    </w:p>
    <w:p w14:paraId="76CCD538" w14:textId="77777777" w:rsidR="00BC63C0" w:rsidRPr="00BC63C0" w:rsidRDefault="00BC63C0" w:rsidP="00BC63C0">
      <w:pPr>
        <w:numPr>
          <w:ilvl w:val="0"/>
          <w:numId w:val="37"/>
        </w:numPr>
        <w:ind w:left="567" w:hanging="283"/>
        <w:contextualSpacing/>
        <w:rPr>
          <w:sz w:val="24"/>
          <w:szCs w:val="24"/>
        </w:rPr>
      </w:pPr>
      <w:r w:rsidRPr="00BC63C0">
        <w:rPr>
          <w:sz w:val="24"/>
          <w:szCs w:val="24"/>
        </w:rPr>
        <w:t>Yläkehon (kulmakarvoista reisiin) aineenvaihdunnan PET-TT (JN5DR)</w:t>
      </w:r>
    </w:p>
    <w:p w14:paraId="2B1CBFC7" w14:textId="77777777" w:rsidR="00BC63C0" w:rsidRPr="00BC63C0" w:rsidRDefault="00BC63C0" w:rsidP="00BC63C0">
      <w:pPr>
        <w:numPr>
          <w:ilvl w:val="0"/>
          <w:numId w:val="37"/>
        </w:numPr>
        <w:ind w:left="567" w:hanging="283"/>
        <w:contextualSpacing/>
        <w:rPr>
          <w:sz w:val="24"/>
          <w:szCs w:val="24"/>
        </w:rPr>
      </w:pPr>
      <w:r w:rsidRPr="00BC63C0">
        <w:rPr>
          <w:sz w:val="24"/>
          <w:szCs w:val="24"/>
        </w:rPr>
        <w:t>Koko kehon (päälaelta jalkaterään) aineenvaihdunnan laaja PET-TT (JN6JR)</w:t>
      </w:r>
    </w:p>
    <w:p w14:paraId="08F607A5" w14:textId="77777777" w:rsidR="00BC63C0" w:rsidRPr="00BC63C0" w:rsidRDefault="00BC63C0" w:rsidP="00BC63C0">
      <w:pPr>
        <w:numPr>
          <w:ilvl w:val="0"/>
          <w:numId w:val="32"/>
        </w:numPr>
        <w:ind w:left="567" w:hanging="283"/>
        <w:contextualSpacing/>
        <w:rPr>
          <w:caps/>
          <w:sz w:val="24"/>
          <w:szCs w:val="24"/>
        </w:rPr>
      </w:pPr>
      <w:r w:rsidRPr="00BC63C0">
        <w:rPr>
          <w:sz w:val="24"/>
          <w:szCs w:val="24"/>
        </w:rPr>
        <w:t>Suppean alueen aineenvaihdunnan PET-TT</w:t>
      </w:r>
      <w:r w:rsidRPr="00BC63C0">
        <w:rPr>
          <w:caps/>
          <w:sz w:val="24"/>
          <w:szCs w:val="24"/>
        </w:rPr>
        <w:t xml:space="preserve"> (xx1Ar)</w:t>
      </w:r>
    </w:p>
    <w:p w14:paraId="618FE9F4" w14:textId="5DDCA418" w:rsidR="00BC63C0" w:rsidRPr="00BC63C0" w:rsidRDefault="00BC63C0" w:rsidP="00BC63C0">
      <w:pPr>
        <w:numPr>
          <w:ilvl w:val="0"/>
          <w:numId w:val="32"/>
        </w:numPr>
        <w:shd w:val="clear" w:color="auto" w:fill="FFFFFF"/>
        <w:spacing w:before="100" w:beforeAutospacing="1" w:afterAutospacing="1"/>
        <w:ind w:left="567" w:hanging="283"/>
        <w:contextualSpacing/>
        <w:jc w:val="both"/>
        <w:outlineLvl w:val="0"/>
        <w:rPr>
          <w:rFonts w:cs="Arial"/>
          <w:bCs/>
          <w:caps/>
          <w:color w:val="000000"/>
          <w:kern w:val="36"/>
          <w:sz w:val="24"/>
          <w:szCs w:val="24"/>
        </w:rPr>
      </w:pPr>
      <w:r w:rsidRPr="00BC63C0">
        <w:rPr>
          <w:sz w:val="24"/>
          <w:szCs w:val="24"/>
        </w:rPr>
        <w:t xml:space="preserve">Peruttu Aineenvaihdunnan </w:t>
      </w:r>
      <w:r w:rsidRPr="00BC63C0">
        <w:rPr>
          <w:sz w:val="24"/>
          <w:szCs w:val="24"/>
        </w:rPr>
        <w:t>PET-TT-kuvaus</w:t>
      </w:r>
      <w:r w:rsidRPr="00BC63C0">
        <w:rPr>
          <w:sz w:val="24"/>
          <w:szCs w:val="24"/>
        </w:rPr>
        <w:t>, radiolääkkeen lasku (ZXF48)</w:t>
      </w:r>
    </w:p>
    <w:p w14:paraId="576C0A2F" w14:textId="77777777" w:rsidR="00BC63C0" w:rsidRPr="00BC63C0" w:rsidRDefault="00BC63C0" w:rsidP="00BC63C0">
      <w:pPr>
        <w:shd w:val="clear" w:color="auto" w:fill="FFFFFF"/>
        <w:spacing w:before="100" w:beforeAutospacing="1" w:afterAutospacing="1"/>
        <w:ind w:left="567"/>
        <w:contextualSpacing/>
        <w:jc w:val="both"/>
        <w:outlineLvl w:val="0"/>
        <w:rPr>
          <w:rFonts w:cs="Arial"/>
          <w:bCs/>
          <w:caps/>
          <w:color w:val="000000"/>
          <w:kern w:val="36"/>
          <w:sz w:val="28"/>
          <w:szCs w:val="28"/>
        </w:rPr>
      </w:pPr>
    </w:p>
    <w:p w14:paraId="690F2B80" w14:textId="77777777" w:rsidR="00BC63C0" w:rsidRPr="00BC63C0" w:rsidRDefault="00BC63C0" w:rsidP="00BC63C0">
      <w:r w:rsidRPr="00BC63C0">
        <w:t xml:space="preserve">PERIAATE </w:t>
      </w:r>
    </w:p>
    <w:p w14:paraId="0604C2FE" w14:textId="77777777" w:rsidR="00BC63C0" w:rsidRPr="00BC63C0" w:rsidRDefault="00BC63C0" w:rsidP="00BC63C0">
      <w:pPr>
        <w:ind w:left="851"/>
      </w:pPr>
      <w:r w:rsidRPr="00BC63C0">
        <w:t xml:space="preserve">Fluori-18-deoksiglukoosissa (FDG) D-glukoosin hiilirenkaan 2-aseman hydroksyyliryhmä on korvattu F-18-atomilla. Se kuljetetaan soluun kuten D-glukoosi. Tämän jälkeen FDG </w:t>
      </w:r>
      <w:proofErr w:type="spellStart"/>
      <w:r w:rsidRPr="00BC63C0">
        <w:t>fosforyloituu</w:t>
      </w:r>
      <w:proofErr w:type="spellEnd"/>
      <w:r w:rsidRPr="00BC63C0">
        <w:t xml:space="preserve"> heksokinaasin vaikutuksesta FDG-6-fosfaatiksi. FDG:n aineenvaihdunta jää suurimmaksi osaksi tähän vaiheeseen. FDG-6-fosfaatti ei - toisin kuin vapaa FDG - läpäise solukalvoa, vaan jää solunsisäiseen loukkuun, missä F-18 hajoaa lähettäen positronin. Emit</w:t>
      </w:r>
      <w:r w:rsidRPr="00BC63C0">
        <w:softHyphen/>
        <w:t>toituvien positronien määrä korreloi glukoosin määrään kussakin kuvauskentän pis</w:t>
      </w:r>
      <w:r w:rsidRPr="00BC63C0">
        <w:softHyphen/>
        <w:t>teessä. Positroniemissiotomografiana otetuista leikekuvista saadaan käsitys glukoosimeta</w:t>
      </w:r>
      <w:r w:rsidRPr="00BC63C0">
        <w:softHyphen/>
        <w:t>bolian jakautumasta kohdealueella. Tutkimuksen yhteydessä potilaalle suoritetaan vaimennuskorjausta ja kuvafuusiota varten matala-annos tietokonetomografia.</w:t>
      </w:r>
    </w:p>
    <w:p w14:paraId="7FB9368D" w14:textId="77777777" w:rsidR="00BC63C0" w:rsidRPr="00BC63C0" w:rsidRDefault="00BC63C0" w:rsidP="00BC63C0">
      <w:pPr>
        <w:ind w:left="851"/>
      </w:pPr>
    </w:p>
    <w:p w14:paraId="7F6ECCD5" w14:textId="77777777" w:rsidR="00BC63C0" w:rsidRPr="00BC63C0" w:rsidRDefault="00BC63C0" w:rsidP="00BC63C0">
      <w:pPr>
        <w:ind w:left="851"/>
      </w:pPr>
      <w:r w:rsidRPr="00BC63C0">
        <w:t xml:space="preserve">Koko kehon aineenvaihdunnan PET-TT –kuvauksen yhteydessä voidaan tehdä myös sydämen sarkoidoosin arviointi, jolloin valmistautumisohjeet ovat kuten ohjeessa </w:t>
      </w:r>
      <w:hyperlink r:id="rId12" w:history="1">
        <w:r w:rsidRPr="00BC63C0">
          <w:rPr>
            <w:color w:val="0000FF"/>
            <w:u w:val="single"/>
          </w:rPr>
          <w:t xml:space="preserve">Sydämen aineenvaihdunnan PET-TT, sarkoidoosin arviointi </w:t>
        </w:r>
      </w:hyperlink>
      <w:r w:rsidRPr="00BC63C0">
        <w:t>.</w:t>
      </w:r>
    </w:p>
    <w:p w14:paraId="58B51345" w14:textId="77777777" w:rsidR="00BC63C0" w:rsidRPr="00BC63C0" w:rsidRDefault="00BC63C0" w:rsidP="00BC63C0">
      <w:pPr>
        <w:ind w:left="567"/>
      </w:pPr>
    </w:p>
    <w:p w14:paraId="35B11CB4" w14:textId="77777777" w:rsidR="00BC63C0" w:rsidRPr="00BC63C0" w:rsidRDefault="00BC63C0" w:rsidP="00BC63C0">
      <w:r w:rsidRPr="00BC63C0">
        <w:t>INDIKAATIOT</w:t>
      </w:r>
    </w:p>
    <w:p w14:paraId="66A6E8AD" w14:textId="77777777" w:rsidR="00BC63C0" w:rsidRPr="00BC63C0" w:rsidRDefault="00BC63C0" w:rsidP="00BC63C0">
      <w:pPr>
        <w:ind w:left="851"/>
      </w:pPr>
      <w:r w:rsidRPr="00BC63C0">
        <w:rPr>
          <w:u w:val="single"/>
        </w:rPr>
        <w:t>Kasvaindiagnostiikka:</w:t>
      </w:r>
      <w:r w:rsidRPr="00BC63C0">
        <w:t xml:space="preserve"> Levinneisyyden arvioiminen (</w:t>
      </w:r>
      <w:proofErr w:type="spellStart"/>
      <w:r w:rsidRPr="00BC63C0">
        <w:t>staging</w:t>
      </w:r>
      <w:proofErr w:type="spellEnd"/>
      <w:r w:rsidRPr="00BC63C0">
        <w:t>), residiivikasvaimen erottami</w:t>
      </w:r>
      <w:r w:rsidRPr="00BC63C0">
        <w:softHyphen/>
        <w:t>nen hoidon jälkeisistä muutoksista, sädehoidon ja syövän lääkehoidon vasteen arviointi, ja muutoksen pahanlaatuisuuden arviointi kohteissa, joista koepalan saaminen on vaikeaa.</w:t>
      </w:r>
    </w:p>
    <w:p w14:paraId="2C391309" w14:textId="77777777" w:rsidR="00BC63C0" w:rsidRPr="00BC63C0" w:rsidRDefault="00BC63C0" w:rsidP="00BC63C0">
      <w:pPr>
        <w:ind w:left="851"/>
      </w:pPr>
      <w:r w:rsidRPr="00BC63C0">
        <w:t>Tällä hetkellä suositeltavimpia kuvausindikaatioita onkologiassa ovat lymfooman (Hodg</w:t>
      </w:r>
      <w:r w:rsidRPr="00BC63C0">
        <w:softHyphen/>
        <w:t>kin ja non-Hodgkin) luokittelu, paksu- ja peräsuolisyövän uusiutumisen osoittaminen, pään ja kaulan alueen syövän residiividiagnostiikka, radiologisesti epäselvän keuhkomuutoksen pahanlaatuisuuden arvioiminen ja leikkauskelpoisuuden arviointi ei-pienisoluisessa keuhkosyövässä.</w:t>
      </w:r>
    </w:p>
    <w:p w14:paraId="249C001C" w14:textId="77777777" w:rsidR="00BC63C0" w:rsidRPr="00BC63C0" w:rsidRDefault="00BC63C0" w:rsidP="00BC63C0">
      <w:pPr>
        <w:ind w:left="851"/>
      </w:pPr>
      <w:r w:rsidRPr="00BC63C0">
        <w:rPr>
          <w:u w:val="single"/>
        </w:rPr>
        <w:t>Neurologia:</w:t>
      </w:r>
      <w:r w:rsidRPr="00BC63C0">
        <w:t xml:space="preserve"> Epileptisen pesäkkeen paikantaminen epilepsiassa ja dementiadiagnostiikka, ks. </w:t>
      </w:r>
      <w:hyperlink r:id="rId13" w:history="1">
        <w:r w:rsidRPr="00BC63C0">
          <w:rPr>
            <w:bCs/>
            <w:color w:val="0000FF"/>
            <w:u w:val="single"/>
          </w:rPr>
          <w:t>Aivojen</w:t>
        </w:r>
        <w:r w:rsidRPr="00BC63C0">
          <w:rPr>
            <w:b/>
            <w:color w:val="0000FF"/>
            <w:u w:val="single"/>
          </w:rPr>
          <w:t xml:space="preserve"> </w:t>
        </w:r>
        <w:r w:rsidRPr="00BC63C0">
          <w:rPr>
            <w:bCs/>
            <w:color w:val="0000FF"/>
            <w:u w:val="single"/>
          </w:rPr>
          <w:t>aineenvaihdunnan</w:t>
        </w:r>
        <w:r w:rsidRPr="00BC63C0">
          <w:rPr>
            <w:b/>
            <w:color w:val="0000FF"/>
            <w:u w:val="single"/>
          </w:rPr>
          <w:t xml:space="preserve"> </w:t>
        </w:r>
        <w:r w:rsidRPr="00BC63C0">
          <w:rPr>
            <w:bCs/>
            <w:color w:val="0000FF"/>
            <w:u w:val="single"/>
          </w:rPr>
          <w:t>PET</w:t>
        </w:r>
        <w:r w:rsidRPr="00BC63C0">
          <w:rPr>
            <w:b/>
            <w:color w:val="0000FF"/>
            <w:u w:val="single"/>
          </w:rPr>
          <w:t>-TT</w:t>
        </w:r>
      </w:hyperlink>
      <w:r w:rsidRPr="00BC63C0">
        <w:rPr>
          <w:b/>
        </w:rPr>
        <w:t>.</w:t>
      </w:r>
    </w:p>
    <w:p w14:paraId="0FBD02B9" w14:textId="77777777" w:rsidR="00BC63C0" w:rsidRPr="00BC63C0" w:rsidRDefault="00BC63C0" w:rsidP="00BC63C0">
      <w:pPr>
        <w:ind w:left="851"/>
      </w:pPr>
      <w:r w:rsidRPr="00BC63C0">
        <w:rPr>
          <w:u w:val="single"/>
        </w:rPr>
        <w:t>Muita indikaatioita</w:t>
      </w:r>
      <w:r w:rsidRPr="00BC63C0">
        <w:t>: Krooninen osteomyeliitti ja sydämen sarkoidoosin tai viabiliteetin osoittaminen, ks.</w:t>
      </w:r>
      <w:r w:rsidRPr="00BC63C0">
        <w:rPr>
          <w:b/>
        </w:rPr>
        <w:t xml:space="preserve"> Sydämen aineenvaihdunnan PET-TT </w:t>
      </w:r>
      <w:r w:rsidRPr="00BC63C0">
        <w:t>(</w:t>
      </w:r>
      <w:hyperlink r:id="rId14" w:history="1">
        <w:r w:rsidRPr="00BC63C0">
          <w:rPr>
            <w:bCs/>
            <w:color w:val="0000FF"/>
            <w:u w:val="single"/>
          </w:rPr>
          <w:t>Sarkoidoosin</w:t>
        </w:r>
      </w:hyperlink>
      <w:r w:rsidRPr="00BC63C0">
        <w:t xml:space="preserve"> tai </w:t>
      </w:r>
      <w:hyperlink r:id="rId15" w:history="1">
        <w:r w:rsidRPr="00BC63C0">
          <w:rPr>
            <w:bCs/>
            <w:color w:val="0000FF"/>
            <w:u w:val="single"/>
          </w:rPr>
          <w:t>viabiliteetin</w:t>
        </w:r>
      </w:hyperlink>
      <w:r w:rsidRPr="00BC63C0">
        <w:t xml:space="preserve"> arviointi)</w:t>
      </w:r>
      <w:r w:rsidRPr="00BC63C0">
        <w:rPr>
          <w:b/>
        </w:rPr>
        <w:t>.</w:t>
      </w:r>
    </w:p>
    <w:p w14:paraId="611E30CC" w14:textId="77777777" w:rsidR="00BC63C0" w:rsidRPr="00BC63C0" w:rsidRDefault="00BC63C0" w:rsidP="00BC63C0"/>
    <w:p w14:paraId="5E42E7C9" w14:textId="77777777" w:rsidR="00BC63C0" w:rsidRPr="00BC63C0" w:rsidRDefault="00BC63C0" w:rsidP="00BC63C0">
      <w:r w:rsidRPr="00BC63C0">
        <w:t>KONTRAINDIKAATIOT</w:t>
      </w:r>
    </w:p>
    <w:p w14:paraId="47C2F684" w14:textId="77777777" w:rsidR="00BC63C0" w:rsidRPr="00BC63C0" w:rsidRDefault="00BC63C0" w:rsidP="00BC63C0">
      <w:pPr>
        <w:ind w:left="851"/>
      </w:pPr>
      <w:r w:rsidRPr="00BC63C0">
        <w:t xml:space="preserve">Raskaus suhteellinen, ks. Isotooppitutkimuksiin liittyviä yleisohjeita </w:t>
      </w:r>
      <w:hyperlink r:id="rId16" w:history="1">
        <w:r w:rsidRPr="00BC63C0">
          <w:rPr>
            <w:color w:val="0000FF"/>
            <w:u w:val="single"/>
          </w:rPr>
          <w:t>Syntymättömien ja vastasyntyneiden lasten suojeleminen vanhempien altistuessa säteilylle isotooppitutkimusten tai -hoitojen yhteydessä: Tut</w:t>
        </w:r>
        <w:r w:rsidRPr="00BC63C0">
          <w:rPr>
            <w:color w:val="0000FF"/>
            <w:u w:val="single"/>
          </w:rPr>
          <w:softHyphen/>
          <w:t>kimusten ja hoitojen ajoitus fertiili-ikäisillä naisilla</w:t>
        </w:r>
      </w:hyperlink>
    </w:p>
    <w:p w14:paraId="1D780065" w14:textId="77777777" w:rsidR="00BC63C0" w:rsidRPr="00BC63C0" w:rsidRDefault="00BC63C0" w:rsidP="00BC63C0"/>
    <w:p w14:paraId="1FB3DF63" w14:textId="77777777" w:rsidR="00BC63C0" w:rsidRPr="00BC63C0" w:rsidRDefault="00BC63C0" w:rsidP="00BC63C0">
      <w:r w:rsidRPr="00BC63C0">
        <w:t>RADIOLÄÄKE</w:t>
      </w:r>
    </w:p>
    <w:p w14:paraId="528D9163" w14:textId="77777777" w:rsidR="00BC63C0" w:rsidRPr="00BC63C0" w:rsidRDefault="00BC63C0" w:rsidP="00BC63C0">
      <w:pPr>
        <w:ind w:left="851"/>
        <w:rPr>
          <w:b/>
        </w:rPr>
      </w:pPr>
      <w:r w:rsidRPr="00BC63C0">
        <w:rPr>
          <w:vertAlign w:val="superscript"/>
        </w:rPr>
        <w:t>18</w:t>
      </w:r>
      <w:r w:rsidRPr="00BC63C0">
        <w:t>F-FDG -injektioneste toimitetaan tutkimuspäivän aamuna valmiina injisoitavana annoksena</w:t>
      </w:r>
      <w:r w:rsidRPr="00BC63C0">
        <w:rPr>
          <w:b/>
        </w:rPr>
        <w:t>.</w:t>
      </w:r>
    </w:p>
    <w:p w14:paraId="1C0F5431" w14:textId="77777777" w:rsidR="00BC63C0" w:rsidRPr="00BC63C0" w:rsidRDefault="00BC63C0" w:rsidP="00BC63C0"/>
    <w:p w14:paraId="131D8B62" w14:textId="77777777" w:rsidR="00BC63C0" w:rsidRPr="00BC63C0" w:rsidRDefault="00BC63C0" w:rsidP="00BC63C0">
      <w:r w:rsidRPr="00BC63C0">
        <w:t>ANNOS</w:t>
      </w:r>
    </w:p>
    <w:p w14:paraId="6F78EF30" w14:textId="77777777" w:rsidR="00BC63C0" w:rsidRPr="00BC63C0" w:rsidRDefault="00BC63C0" w:rsidP="00BC63C0">
      <w:pPr>
        <w:ind w:left="851"/>
      </w:pPr>
      <w:r w:rsidRPr="00BC63C0">
        <w:t>Annos painon mukaan. Aikuisille 3 MBq/kg, maksimiannos 340 MBq. Lapsille annos painon mukaan, ks. Lasten annostelutaulukko.</w:t>
      </w:r>
    </w:p>
    <w:p w14:paraId="0D7CF44F" w14:textId="77777777" w:rsidR="00BC63C0" w:rsidRPr="00BC63C0" w:rsidRDefault="00BC63C0" w:rsidP="00BC63C0">
      <w:pPr>
        <w:ind w:left="851" w:hanging="851"/>
      </w:pPr>
    </w:p>
    <w:p w14:paraId="0DB53585" w14:textId="77777777" w:rsidR="00BC63C0" w:rsidRPr="00BC63C0" w:rsidRDefault="00BC63C0" w:rsidP="00BC63C0">
      <w:pPr>
        <w:ind w:left="851" w:hanging="851"/>
      </w:pPr>
      <w:r w:rsidRPr="00BC63C0">
        <w:t xml:space="preserve">LÄÄKKEET: </w:t>
      </w:r>
    </w:p>
    <w:p w14:paraId="7BD2F958" w14:textId="07347D7C" w:rsidR="00BC63C0" w:rsidRPr="00BC63C0" w:rsidRDefault="00BC63C0" w:rsidP="00BC63C0">
      <w:pPr>
        <w:ind w:left="851"/>
      </w:pPr>
      <w:r w:rsidRPr="00BC63C0">
        <w:t xml:space="preserve">Diatsepaami, </w:t>
      </w:r>
      <w:proofErr w:type="spellStart"/>
      <w:r w:rsidRPr="00BC63C0">
        <w:t>tabl</w:t>
      </w:r>
      <w:proofErr w:type="spellEnd"/>
      <w:r w:rsidRPr="00BC63C0">
        <w:t xml:space="preserve">. (esim. </w:t>
      </w:r>
      <w:proofErr w:type="spellStart"/>
      <w:r w:rsidRPr="00BC63C0">
        <w:t>Diapam</w:t>
      </w:r>
      <w:proofErr w:type="spellEnd"/>
      <w:r w:rsidRPr="00BC63C0">
        <w:rPr>
          <w:vertAlign w:val="superscript"/>
        </w:rPr>
        <w:t>®</w:t>
      </w:r>
      <w:r w:rsidRPr="00BC63C0">
        <w:t xml:space="preserve"> 5 mg).</w:t>
      </w:r>
    </w:p>
    <w:p w14:paraId="67B4907D" w14:textId="77777777" w:rsidR="00BC63C0" w:rsidRPr="00BC63C0" w:rsidRDefault="00BC63C0" w:rsidP="00BC63C0"/>
    <w:p w14:paraId="1517FE6E" w14:textId="77777777" w:rsidR="00BC63C0" w:rsidRPr="00BC63C0" w:rsidRDefault="00BC63C0" w:rsidP="00BC63C0">
      <w:r w:rsidRPr="00BC63C0">
        <w:t>POTILAAN ESIVALMISTELU</w:t>
      </w:r>
    </w:p>
    <w:p w14:paraId="54886E78" w14:textId="77777777" w:rsidR="00BC63C0" w:rsidRPr="00BC63C0" w:rsidRDefault="00BC63C0" w:rsidP="00BC63C0">
      <w:pPr>
        <w:numPr>
          <w:ilvl w:val="0"/>
          <w:numId w:val="26"/>
        </w:numPr>
        <w:ind w:left="1276" w:hanging="425"/>
        <w:contextualSpacing/>
      </w:pPr>
      <w:r w:rsidRPr="00BC63C0">
        <w:t>Potilaan tulee paastota 6 tuntia ennen tutkimusta.</w:t>
      </w:r>
      <w:r w:rsidRPr="00BC63C0">
        <w:rPr>
          <w:color w:val="000000"/>
          <w:szCs w:val="24"/>
        </w:rPr>
        <w:t xml:space="preserve"> </w:t>
      </w:r>
    </w:p>
    <w:p w14:paraId="1102C764" w14:textId="77777777" w:rsidR="00BC63C0" w:rsidRPr="00BC63C0" w:rsidRDefault="00BC63C0" w:rsidP="00BC63C0">
      <w:pPr>
        <w:numPr>
          <w:ilvl w:val="0"/>
          <w:numId w:val="27"/>
        </w:numPr>
        <w:contextualSpacing/>
        <w:jc w:val="both"/>
        <w:rPr>
          <w:rFonts w:cs="Arial"/>
        </w:rPr>
      </w:pPr>
      <w:r w:rsidRPr="00BC63C0">
        <w:t>Tutkimuspäivänä saa juoda vain vettä.</w:t>
      </w:r>
      <w:r w:rsidRPr="00BC63C0">
        <w:rPr>
          <w:rFonts w:cs="Arial"/>
        </w:rPr>
        <w:t xml:space="preserve"> Kahvia, teetä, mehua, maitoa, virvoitusjuomia ym. ei saa juoda. Suuhun ei saa laittaa esim. karamellia tai purukumia. Em. juomat ja tuotteet eivät ole sallittuja edes sokerittomana.</w:t>
      </w:r>
    </w:p>
    <w:p w14:paraId="32A7F9FB" w14:textId="77777777" w:rsidR="00BC63C0" w:rsidRPr="00BC63C0" w:rsidRDefault="00BC63C0" w:rsidP="00BC63C0">
      <w:pPr>
        <w:numPr>
          <w:ilvl w:val="0"/>
          <w:numId w:val="27"/>
        </w:numPr>
        <w:contextualSpacing/>
        <w:jc w:val="both"/>
        <w:rPr>
          <w:rFonts w:cs="Arial"/>
        </w:rPr>
      </w:pPr>
      <w:r w:rsidRPr="00BC63C0">
        <w:rPr>
          <w:rFonts w:cs="Arial"/>
        </w:rPr>
        <w:t>Nuuska saattaa sisältää makeutusaineita, joten sen käyttö on kielletty 6 tuntia ennen kuvausta.</w:t>
      </w:r>
    </w:p>
    <w:p w14:paraId="712DE3ED" w14:textId="77777777" w:rsidR="00BC63C0" w:rsidRPr="00BC63C0" w:rsidRDefault="00BC63C0" w:rsidP="00BC63C0">
      <w:pPr>
        <w:numPr>
          <w:ilvl w:val="0"/>
          <w:numId w:val="27"/>
        </w:numPr>
        <w:contextualSpacing/>
        <w:jc w:val="both"/>
        <w:rPr>
          <w:rFonts w:cs="Arial"/>
        </w:rPr>
      </w:pPr>
      <w:r w:rsidRPr="00BC63C0">
        <w:rPr>
          <w:rFonts w:cs="Arial"/>
        </w:rPr>
        <w:t>Lääkkeet voi ottaa normaalisti veden kanssa.</w:t>
      </w:r>
    </w:p>
    <w:p w14:paraId="088E01D3" w14:textId="77777777" w:rsidR="00BC63C0" w:rsidRPr="00BC63C0" w:rsidRDefault="00BC63C0" w:rsidP="00BC63C0">
      <w:pPr>
        <w:numPr>
          <w:ilvl w:val="0"/>
          <w:numId w:val="27"/>
        </w:numPr>
      </w:pPr>
      <w:r w:rsidRPr="00BC63C0">
        <w:rPr>
          <w:color w:val="000000"/>
        </w:rPr>
        <w:t>6 h paaston aikana glukoosipitoisia tai muita ravintoliuoksia ei saa antaa suonensisäisesti, tarvittaessa tiputetaan fysiologista keittosuolaliuosta.</w:t>
      </w:r>
    </w:p>
    <w:p w14:paraId="4AE89F8B" w14:textId="77777777" w:rsidR="00BC63C0" w:rsidRPr="00BC63C0" w:rsidRDefault="00BC63C0" w:rsidP="00BC63C0">
      <w:pPr>
        <w:numPr>
          <w:ilvl w:val="0"/>
          <w:numId w:val="39"/>
        </w:numPr>
        <w:ind w:left="1276" w:hanging="425"/>
        <w:contextualSpacing/>
        <w:rPr>
          <w:szCs w:val="24"/>
        </w:rPr>
      </w:pPr>
      <w:r w:rsidRPr="00BC63C0">
        <w:rPr>
          <w:rFonts w:cs="Arial"/>
        </w:rPr>
        <w:t>Raskas liikunta ja alkoholin käyttö on kielletty 24 tuntia ennen tutkimusta.</w:t>
      </w:r>
    </w:p>
    <w:p w14:paraId="593D718F" w14:textId="59B4C69E" w:rsidR="00BC63C0" w:rsidRPr="00BC63C0" w:rsidRDefault="00BC63C0" w:rsidP="00BC63C0">
      <w:pPr>
        <w:numPr>
          <w:ilvl w:val="0"/>
          <w:numId w:val="39"/>
        </w:numPr>
        <w:ind w:left="1276" w:hanging="425"/>
      </w:pPr>
      <w:r w:rsidRPr="00BC63C0">
        <w:t xml:space="preserve">Tarvittaessa annetaan diatsepaami </w:t>
      </w:r>
      <w:r w:rsidRPr="00BC63C0">
        <w:t>5–10</w:t>
      </w:r>
      <w:r w:rsidRPr="00BC63C0">
        <w:t xml:space="preserve"> mg per os. noin tunti ennen radio</w:t>
      </w:r>
      <w:r w:rsidRPr="00BC63C0">
        <w:softHyphen/>
        <w:t>lääkkeen antamista. Lapsille tarve arvioidaan tapauskohtaisesti.</w:t>
      </w:r>
    </w:p>
    <w:p w14:paraId="253A6187" w14:textId="77777777" w:rsidR="00BC63C0" w:rsidRPr="00BC63C0" w:rsidRDefault="00BC63C0" w:rsidP="00BC63C0">
      <w:pPr>
        <w:numPr>
          <w:ilvl w:val="0"/>
          <w:numId w:val="39"/>
        </w:numPr>
        <w:ind w:left="1276" w:hanging="425"/>
        <w:contextualSpacing/>
        <w:rPr>
          <w:szCs w:val="24"/>
        </w:rPr>
      </w:pPr>
      <w:r w:rsidRPr="00BC63C0">
        <w:t>Tarvittaessa potilaalle laitetaan kestokatetri tutkimusta pyytävässä yksikössä, jos rakon aktiivisuus voi häiritä lantion mielenkiintoalueen tulkintaa.</w:t>
      </w:r>
    </w:p>
    <w:p w14:paraId="45A7EBF3" w14:textId="77777777" w:rsidR="00BC63C0" w:rsidRPr="00BC63C0" w:rsidRDefault="00BC63C0" w:rsidP="00BC63C0">
      <w:pPr>
        <w:ind w:left="1276"/>
        <w:contextualSpacing/>
        <w:rPr>
          <w:szCs w:val="24"/>
        </w:rPr>
      </w:pPr>
    </w:p>
    <w:p w14:paraId="4BBC4512" w14:textId="77777777" w:rsidR="00BC63C0" w:rsidRPr="00BC63C0" w:rsidRDefault="00BC63C0" w:rsidP="00BC63C0">
      <w:pPr>
        <w:ind w:left="851"/>
        <w:rPr>
          <w:szCs w:val="24"/>
        </w:rPr>
      </w:pPr>
      <w:r w:rsidRPr="00BC63C0">
        <w:rPr>
          <w:rFonts w:cs="Arial"/>
        </w:rPr>
        <w:t>Diabeetikot:</w:t>
      </w:r>
    </w:p>
    <w:p w14:paraId="10B292E4" w14:textId="77777777" w:rsidR="00BC63C0" w:rsidRPr="00BC63C0" w:rsidRDefault="00BC63C0" w:rsidP="00BC63C0">
      <w:pPr>
        <w:numPr>
          <w:ilvl w:val="0"/>
          <w:numId w:val="25"/>
        </w:numPr>
        <w:ind w:left="1276" w:hanging="425"/>
        <w:rPr>
          <w:szCs w:val="24"/>
        </w:rPr>
      </w:pPr>
      <w:proofErr w:type="spellStart"/>
      <w:r w:rsidRPr="00BC63C0">
        <w:rPr>
          <w:color w:val="000000"/>
        </w:rPr>
        <w:t>Metformiinipitoisessa</w:t>
      </w:r>
      <w:proofErr w:type="spellEnd"/>
      <w:r w:rsidRPr="00BC63C0">
        <w:rPr>
          <w:color w:val="000000"/>
        </w:rPr>
        <w:t xml:space="preserve"> – lääkityksessä pidetään 3 vuorokauden tauko ennen tutkimusta. Aivojen tai sydämen kuvauksissa taukoa ei pidetä.</w:t>
      </w:r>
    </w:p>
    <w:p w14:paraId="2DB9F604" w14:textId="77777777" w:rsidR="00BC63C0" w:rsidRPr="00BC63C0" w:rsidRDefault="00BC63C0" w:rsidP="00BC63C0">
      <w:pPr>
        <w:numPr>
          <w:ilvl w:val="0"/>
          <w:numId w:val="27"/>
        </w:numPr>
        <w:rPr>
          <w:color w:val="000000"/>
        </w:rPr>
      </w:pPr>
      <w:r w:rsidRPr="00BC63C0">
        <w:rPr>
          <w:color w:val="000000"/>
        </w:rPr>
        <w:t xml:space="preserve">Metformiinin kauppanimiä ovat mm. </w:t>
      </w:r>
      <w:proofErr w:type="spellStart"/>
      <w:r w:rsidRPr="00BC63C0">
        <w:rPr>
          <w:color w:val="000000"/>
        </w:rPr>
        <w:t>Eucreas</w:t>
      </w:r>
      <w:proofErr w:type="spellEnd"/>
      <w:r w:rsidRPr="00BC63C0">
        <w:rPr>
          <w:color w:val="000000"/>
        </w:rPr>
        <w:t xml:space="preserve">®, </w:t>
      </w:r>
      <w:proofErr w:type="spellStart"/>
      <w:r w:rsidRPr="00BC63C0">
        <w:rPr>
          <w:color w:val="000000"/>
        </w:rPr>
        <w:t>Glucophage</w:t>
      </w:r>
      <w:proofErr w:type="spellEnd"/>
      <w:r w:rsidRPr="00BC63C0">
        <w:rPr>
          <w:color w:val="000000"/>
        </w:rPr>
        <w:t xml:space="preserve">®, </w:t>
      </w:r>
      <w:proofErr w:type="spellStart"/>
      <w:r w:rsidRPr="00BC63C0">
        <w:rPr>
          <w:color w:val="000000"/>
        </w:rPr>
        <w:t>Janumet</w:t>
      </w:r>
      <w:proofErr w:type="spellEnd"/>
      <w:r w:rsidRPr="00BC63C0">
        <w:rPr>
          <w:color w:val="000000"/>
        </w:rPr>
        <w:t xml:space="preserve">®, </w:t>
      </w:r>
      <w:proofErr w:type="spellStart"/>
      <w:r w:rsidRPr="00BC63C0">
        <w:rPr>
          <w:color w:val="000000"/>
        </w:rPr>
        <w:t>Jentadueto</w:t>
      </w:r>
      <w:proofErr w:type="spellEnd"/>
      <w:r w:rsidRPr="00BC63C0">
        <w:rPr>
          <w:color w:val="000000"/>
        </w:rPr>
        <w:t xml:space="preserve">®, </w:t>
      </w:r>
      <w:proofErr w:type="spellStart"/>
      <w:r w:rsidRPr="00BC63C0">
        <w:rPr>
          <w:color w:val="000000"/>
        </w:rPr>
        <w:t>Komboglyze</w:t>
      </w:r>
      <w:proofErr w:type="spellEnd"/>
      <w:r w:rsidRPr="00BC63C0">
        <w:rPr>
          <w:color w:val="000000"/>
        </w:rPr>
        <w:t xml:space="preserve">®, </w:t>
      </w:r>
      <w:proofErr w:type="spellStart"/>
      <w:r w:rsidRPr="00BC63C0">
        <w:rPr>
          <w:color w:val="000000"/>
        </w:rPr>
        <w:t>Metforem</w:t>
      </w:r>
      <w:proofErr w:type="spellEnd"/>
      <w:r w:rsidRPr="00BC63C0">
        <w:rPr>
          <w:color w:val="000000"/>
        </w:rPr>
        <w:t xml:space="preserve">®, </w:t>
      </w:r>
      <w:proofErr w:type="spellStart"/>
      <w:r w:rsidRPr="00BC63C0">
        <w:rPr>
          <w:color w:val="000000"/>
        </w:rPr>
        <w:t>Metformin</w:t>
      </w:r>
      <w:proofErr w:type="spellEnd"/>
      <w:r w:rsidRPr="00BC63C0">
        <w:rPr>
          <w:color w:val="000000"/>
        </w:rPr>
        <w:t xml:space="preserve">®, </w:t>
      </w:r>
      <w:proofErr w:type="spellStart"/>
      <w:r w:rsidRPr="00BC63C0">
        <w:rPr>
          <w:color w:val="000000"/>
        </w:rPr>
        <w:t>Oramet</w:t>
      </w:r>
      <w:proofErr w:type="spellEnd"/>
      <w:r w:rsidRPr="00BC63C0">
        <w:rPr>
          <w:color w:val="000000"/>
        </w:rPr>
        <w:t xml:space="preserve">®, </w:t>
      </w:r>
      <w:proofErr w:type="spellStart"/>
      <w:r w:rsidRPr="00BC63C0">
        <w:rPr>
          <w:color w:val="000000"/>
        </w:rPr>
        <w:t>Synjardy</w:t>
      </w:r>
      <w:proofErr w:type="spellEnd"/>
      <w:r w:rsidRPr="00BC63C0">
        <w:rPr>
          <w:color w:val="000000"/>
        </w:rPr>
        <w:t xml:space="preserve">®, </w:t>
      </w:r>
      <w:proofErr w:type="spellStart"/>
      <w:r w:rsidRPr="00BC63C0">
        <w:rPr>
          <w:color w:val="000000"/>
        </w:rPr>
        <w:t>Xigduo</w:t>
      </w:r>
      <w:proofErr w:type="spellEnd"/>
      <w:r w:rsidRPr="00BC63C0">
        <w:rPr>
          <w:color w:val="000000"/>
        </w:rPr>
        <w:t>®.</w:t>
      </w:r>
    </w:p>
    <w:p w14:paraId="521FD257" w14:textId="77777777" w:rsidR="00BC63C0" w:rsidRPr="00BC63C0" w:rsidRDefault="00BC63C0" w:rsidP="00BC63C0">
      <w:pPr>
        <w:ind w:left="1636"/>
        <w:rPr>
          <w:color w:val="000000"/>
        </w:rPr>
      </w:pPr>
    </w:p>
    <w:p w14:paraId="29D53A1C" w14:textId="77777777" w:rsidR="00BC63C0" w:rsidRPr="00BC63C0" w:rsidRDefault="00BC63C0" w:rsidP="00BC63C0">
      <w:pPr>
        <w:numPr>
          <w:ilvl w:val="0"/>
          <w:numId w:val="25"/>
        </w:numPr>
        <w:ind w:left="1276" w:hanging="425"/>
        <w:rPr>
          <w:szCs w:val="24"/>
        </w:rPr>
      </w:pPr>
      <w:r w:rsidRPr="00BC63C0">
        <w:rPr>
          <w:rFonts w:cs="Arial"/>
          <w:b/>
        </w:rPr>
        <w:t>Ruokavalio- tai tablettihoitoisen diabetespotilaan</w:t>
      </w:r>
      <w:r w:rsidRPr="00BC63C0">
        <w:rPr>
          <w:rFonts w:cs="Arial"/>
        </w:rPr>
        <w:t xml:space="preserve"> tulee noudattaa 6 tunnin paastosuositusta.</w:t>
      </w:r>
    </w:p>
    <w:p w14:paraId="74230A3A" w14:textId="77777777" w:rsidR="00BC63C0" w:rsidRPr="00BC63C0" w:rsidRDefault="00BC63C0" w:rsidP="00BC63C0">
      <w:pPr>
        <w:numPr>
          <w:ilvl w:val="0"/>
          <w:numId w:val="25"/>
        </w:numPr>
        <w:ind w:left="1276" w:hanging="425"/>
        <w:rPr>
          <w:szCs w:val="24"/>
        </w:rPr>
      </w:pPr>
      <w:r w:rsidRPr="00BC63C0">
        <w:rPr>
          <w:b/>
        </w:rPr>
        <w:t>Insuliini käyttävien diabeetikkojen</w:t>
      </w:r>
      <w:r w:rsidRPr="00BC63C0">
        <w:t xml:space="preserve"> osalta 4 tunnin paasto ennen tutkimukseen tuloa on riittävä.</w:t>
      </w:r>
    </w:p>
    <w:p w14:paraId="7F4C4CE6" w14:textId="77777777" w:rsidR="00BC63C0" w:rsidRPr="00BC63C0" w:rsidRDefault="00BC63C0" w:rsidP="00BC63C0">
      <w:pPr>
        <w:numPr>
          <w:ilvl w:val="0"/>
          <w:numId w:val="36"/>
        </w:numPr>
        <w:contextualSpacing/>
        <w:jc w:val="both"/>
        <w:rPr>
          <w:rFonts w:cs="Arial"/>
        </w:rPr>
      </w:pPr>
      <w:r w:rsidRPr="00BC63C0">
        <w:rPr>
          <w:color w:val="000000"/>
        </w:rPr>
        <w:t>Potilas syö aamupalan ja pistä tarvitsemansa lyhytvaikutteisen insuliini vähintään neljä tuntia ennen tutkimusta. Tämän jälkeen verensokeria ei saa laskea insuliinilla.</w:t>
      </w:r>
    </w:p>
    <w:p w14:paraId="2D2F213F" w14:textId="77777777" w:rsidR="00BC63C0" w:rsidRPr="00BC63C0" w:rsidRDefault="00BC63C0" w:rsidP="00BC63C0">
      <w:pPr>
        <w:numPr>
          <w:ilvl w:val="0"/>
          <w:numId w:val="36"/>
        </w:numPr>
        <w:contextualSpacing/>
        <w:jc w:val="both"/>
        <w:rPr>
          <w:rFonts w:cs="Arial"/>
        </w:rPr>
      </w:pPr>
      <w:r w:rsidRPr="00BC63C0">
        <w:rPr>
          <w:color w:val="000000"/>
        </w:rPr>
        <w:t>Pitkävaikutteista insuliinia ei suositella pistettäväksi tutkimuspäivän aamuna.</w:t>
      </w:r>
    </w:p>
    <w:p w14:paraId="041B33F3" w14:textId="77777777" w:rsidR="00BC63C0" w:rsidRPr="00BC63C0" w:rsidRDefault="00BC63C0" w:rsidP="00BC63C0">
      <w:pPr>
        <w:numPr>
          <w:ilvl w:val="0"/>
          <w:numId w:val="36"/>
        </w:numPr>
        <w:contextualSpacing/>
        <w:jc w:val="both"/>
        <w:rPr>
          <w:rFonts w:cs="Arial"/>
        </w:rPr>
      </w:pPr>
      <w:r w:rsidRPr="00BC63C0">
        <w:t xml:space="preserve">4 h paaston aikana verensokeria ei saa laskea insuliinilla (aiheuttaa </w:t>
      </w:r>
      <w:r w:rsidRPr="00BC63C0">
        <w:rPr>
          <w:vertAlign w:val="superscript"/>
        </w:rPr>
        <w:t>18</w:t>
      </w:r>
      <w:r w:rsidRPr="00BC63C0">
        <w:t>F-FDG:n kertymisen lihassoluihin).</w:t>
      </w:r>
    </w:p>
    <w:p w14:paraId="22A49E63" w14:textId="77777777" w:rsidR="00BC63C0" w:rsidRPr="00BC63C0" w:rsidRDefault="00BC63C0" w:rsidP="00BC63C0">
      <w:pPr>
        <w:numPr>
          <w:ilvl w:val="0"/>
          <w:numId w:val="40"/>
        </w:numPr>
        <w:ind w:left="1276" w:hanging="425"/>
        <w:contextualSpacing/>
        <w:rPr>
          <w:szCs w:val="24"/>
        </w:rPr>
      </w:pPr>
      <w:r w:rsidRPr="00BC63C0">
        <w:t>Epätasapainossa olevien diabeetikkojen verensokeri tulisi tasapainottaa hyvissä ajoin ennen tutkimuspäivää lähettävän/hoitavan yksikön toimesta.</w:t>
      </w:r>
    </w:p>
    <w:p w14:paraId="205CFCC8" w14:textId="77777777" w:rsidR="00BC63C0" w:rsidRPr="00BC63C0" w:rsidRDefault="00BC63C0" w:rsidP="00BC63C0">
      <w:pPr>
        <w:numPr>
          <w:ilvl w:val="0"/>
          <w:numId w:val="40"/>
        </w:numPr>
        <w:ind w:left="1276" w:hanging="425"/>
        <w:contextualSpacing/>
        <w:rPr>
          <w:szCs w:val="24"/>
        </w:rPr>
      </w:pPr>
      <w:r w:rsidRPr="00BC63C0">
        <w:t>Kortisonilääkitys nostaa verensokeria etenkin diabeetikoilla. Jos verensokeri on liian korkea, hoitava yksikkö päättää tavan, jolla verensokeri saadaan laskemaan. Tutkimusajankohta voidaan siirtää, kortisonilääkitys keskeyttää riittävän ajoissa tai potilaan verensokeri hoidetaan lääkityksellä alle 10 mmol/l:ksi ennen tutkimuspäivää.</w:t>
      </w:r>
    </w:p>
    <w:p w14:paraId="2A5A3CB4" w14:textId="77777777" w:rsidR="00BC63C0" w:rsidRPr="00BC63C0" w:rsidRDefault="00BC63C0" w:rsidP="00BC63C0">
      <w:pPr>
        <w:numPr>
          <w:ilvl w:val="0"/>
          <w:numId w:val="38"/>
        </w:numPr>
        <w:contextualSpacing/>
      </w:pPr>
      <w:r w:rsidRPr="00BC63C0">
        <w:lastRenderedPageBreak/>
        <w:t>Verensokerin tulee olla tutkimuspäivänä alle 10 mmol/l. Diabeetikkojen verensokeri tarkistetaan ennen lepotilaan siirtymistä ja tarvittaessa koko tutkimuksen ajan, ks. HUOMAUTUKSET</w:t>
      </w:r>
    </w:p>
    <w:p w14:paraId="62D79A22" w14:textId="77777777" w:rsidR="00BC63C0" w:rsidRPr="00BC63C0" w:rsidRDefault="00BC63C0" w:rsidP="00BC63C0">
      <w:pPr>
        <w:numPr>
          <w:ilvl w:val="0"/>
          <w:numId w:val="38"/>
        </w:numPr>
        <w:contextualSpacing/>
      </w:pPr>
      <w:r w:rsidRPr="00BC63C0">
        <w:t>Jos potilaalla on korkea verensokeri (&gt;10mmol/l), voidaan sitä yrittää laskea, niin että pyydetään potilasta juomaan vettä ja kävelemään verkkaisesti käytävällä. Käy pitkälleen n. puoli tuntia ennen injektiota.</w:t>
      </w:r>
    </w:p>
    <w:p w14:paraId="0440F4E7" w14:textId="77777777" w:rsidR="00BC63C0" w:rsidRPr="00BC63C0" w:rsidRDefault="00BC63C0" w:rsidP="00BC63C0">
      <w:pPr>
        <w:tabs>
          <w:tab w:val="left" w:pos="6600"/>
        </w:tabs>
      </w:pPr>
    </w:p>
    <w:p w14:paraId="4B0000A2" w14:textId="77777777" w:rsidR="00BC63C0" w:rsidRPr="00BC63C0" w:rsidRDefault="00BC63C0" w:rsidP="00BC63C0">
      <w:r w:rsidRPr="00BC63C0">
        <w:t>TUTKIMUKSEN AJOITUKSESSA HUOMIOITAVA:</w:t>
      </w:r>
    </w:p>
    <w:p w14:paraId="5A2521F7" w14:textId="77777777" w:rsidR="00BC63C0" w:rsidRPr="00BC63C0" w:rsidRDefault="00BC63C0" w:rsidP="00BC63C0">
      <w:pPr>
        <w:numPr>
          <w:ilvl w:val="0"/>
          <w:numId w:val="34"/>
        </w:numPr>
        <w:ind w:left="1276" w:hanging="425"/>
      </w:pPr>
      <w:r w:rsidRPr="00BC63C0">
        <w:t>Sytostaattihoidot (</w:t>
      </w:r>
      <w:r w:rsidRPr="00BC63C0">
        <w:rPr>
          <w:vertAlign w:val="superscript"/>
        </w:rPr>
        <w:t>18</w:t>
      </w:r>
      <w:r w:rsidRPr="00BC63C0">
        <w:t xml:space="preserve">F-FDG </w:t>
      </w:r>
      <w:r w:rsidRPr="00BC63C0">
        <w:rPr>
          <w:rFonts w:ascii="Arial" w:hAnsi="Arial" w:cs="Arial"/>
        </w:rPr>
        <w:t>↓</w:t>
      </w:r>
      <w:r w:rsidRPr="00BC63C0">
        <w:t>)</w:t>
      </w:r>
    </w:p>
    <w:p w14:paraId="5D94D5C6" w14:textId="77777777" w:rsidR="00BC63C0" w:rsidRPr="00BC63C0" w:rsidRDefault="00BC63C0" w:rsidP="00BC63C0">
      <w:pPr>
        <w:numPr>
          <w:ilvl w:val="1"/>
          <w:numId w:val="34"/>
        </w:numPr>
        <w:ind w:left="1701" w:hanging="425"/>
      </w:pPr>
      <w:r w:rsidRPr="00BC63C0">
        <w:t>Jos potilaalla on menossa sytostaattihoitosykli esim. hoidot 3 viikon välein, niin PET-kuvaus tulee ajoittaa 1–4 päivää ennen seuraavaa hoitoa</w:t>
      </w:r>
    </w:p>
    <w:p w14:paraId="31D9ECFD" w14:textId="77777777" w:rsidR="00BC63C0" w:rsidRPr="00BC63C0" w:rsidRDefault="00BC63C0" w:rsidP="00BC63C0">
      <w:pPr>
        <w:numPr>
          <w:ilvl w:val="1"/>
          <w:numId w:val="34"/>
        </w:numPr>
        <w:ind w:left="1701" w:hanging="425"/>
      </w:pPr>
      <w:r w:rsidRPr="00BC63C0">
        <w:t>Jos potilaan sytostaattihoidot ovat loppuneet, tulee PET-kuvaus tehdä 4–6 viikon kuluttua hoitojen päättymisestä</w:t>
      </w:r>
    </w:p>
    <w:p w14:paraId="10657A82" w14:textId="77777777" w:rsidR="00BC63C0" w:rsidRPr="00BC63C0" w:rsidRDefault="00BC63C0" w:rsidP="00BC63C0">
      <w:pPr>
        <w:numPr>
          <w:ilvl w:val="0"/>
          <w:numId w:val="34"/>
        </w:numPr>
        <w:ind w:left="1276" w:hanging="425"/>
      </w:pPr>
      <w:r w:rsidRPr="00BC63C0">
        <w:t>Sädehoito (</w:t>
      </w:r>
      <w:r w:rsidRPr="00BC63C0">
        <w:rPr>
          <w:vertAlign w:val="superscript"/>
        </w:rPr>
        <w:t>18</w:t>
      </w:r>
      <w:r w:rsidRPr="00BC63C0">
        <w:t xml:space="preserve">F-FDG hoidetulla alueella </w:t>
      </w:r>
      <w:r w:rsidRPr="00BC63C0">
        <w:rPr>
          <w:rFonts w:ascii="Arial" w:hAnsi="Arial" w:cs="Arial"/>
        </w:rPr>
        <w:t>↑</w:t>
      </w:r>
      <w:r w:rsidRPr="00BC63C0">
        <w:t>)</w:t>
      </w:r>
    </w:p>
    <w:p w14:paraId="2019837A" w14:textId="77777777" w:rsidR="00BC63C0" w:rsidRPr="00BC63C0" w:rsidRDefault="00BC63C0" w:rsidP="00BC63C0">
      <w:pPr>
        <w:numPr>
          <w:ilvl w:val="1"/>
          <w:numId w:val="34"/>
        </w:numPr>
        <w:ind w:left="1701" w:hanging="425"/>
      </w:pPr>
      <w:r w:rsidRPr="00BC63C0">
        <w:t xml:space="preserve">Sädehoidon päättymisestä aikaisintaan 8–10 viikon kuluttua </w:t>
      </w:r>
    </w:p>
    <w:p w14:paraId="0DD5A648" w14:textId="77777777" w:rsidR="00BC63C0" w:rsidRPr="00BC63C0" w:rsidRDefault="00BC63C0" w:rsidP="00BC63C0">
      <w:pPr>
        <w:numPr>
          <w:ilvl w:val="0"/>
          <w:numId w:val="34"/>
        </w:numPr>
        <w:ind w:left="1276" w:hanging="425"/>
      </w:pPr>
      <w:r w:rsidRPr="00BC63C0">
        <w:t>Leikkaukset (</w:t>
      </w:r>
      <w:r w:rsidRPr="00BC63C0">
        <w:rPr>
          <w:vertAlign w:val="superscript"/>
        </w:rPr>
        <w:t>18</w:t>
      </w:r>
      <w:r w:rsidRPr="00BC63C0">
        <w:t xml:space="preserve">F-FDG leikkausalueella </w:t>
      </w:r>
      <w:r w:rsidRPr="00BC63C0">
        <w:rPr>
          <w:rFonts w:ascii="Arial" w:hAnsi="Arial" w:cs="Arial"/>
          <w:lang w:val="en-US"/>
        </w:rPr>
        <w:t>↑</w:t>
      </w:r>
      <w:r w:rsidRPr="00BC63C0">
        <w:rPr>
          <w:lang w:val="en-US"/>
        </w:rPr>
        <w:t>)</w:t>
      </w:r>
    </w:p>
    <w:p w14:paraId="5858CC28" w14:textId="77777777" w:rsidR="00BC63C0" w:rsidRPr="00BC63C0" w:rsidRDefault="00BC63C0" w:rsidP="00BC63C0">
      <w:pPr>
        <w:numPr>
          <w:ilvl w:val="1"/>
          <w:numId w:val="34"/>
        </w:numPr>
        <w:ind w:left="1701" w:hanging="425"/>
      </w:pPr>
      <w:r w:rsidRPr="00BC63C0">
        <w:t>Leikkauksesta n. 6 viikon kuluttua</w:t>
      </w:r>
    </w:p>
    <w:p w14:paraId="619CF69E" w14:textId="77777777" w:rsidR="00BC63C0" w:rsidRPr="00BC63C0" w:rsidRDefault="00BC63C0" w:rsidP="00BC63C0">
      <w:pPr>
        <w:numPr>
          <w:ilvl w:val="0"/>
          <w:numId w:val="35"/>
        </w:numPr>
        <w:ind w:left="1276" w:hanging="425"/>
        <w:contextualSpacing/>
      </w:pPr>
      <w:r w:rsidRPr="00BC63C0">
        <w:t>Biopsiasta n. viikon kuluttua</w:t>
      </w:r>
    </w:p>
    <w:p w14:paraId="5DADEE4D" w14:textId="77777777" w:rsidR="00BC63C0" w:rsidRPr="00BC63C0" w:rsidRDefault="00BC63C0" w:rsidP="00BC63C0">
      <w:pPr>
        <w:spacing w:line="276" w:lineRule="auto"/>
      </w:pPr>
    </w:p>
    <w:p w14:paraId="749BF72E" w14:textId="77777777" w:rsidR="00BC63C0" w:rsidRPr="00BC63C0" w:rsidRDefault="00BC63C0" w:rsidP="00BC63C0">
      <w:pPr>
        <w:spacing w:line="276" w:lineRule="auto"/>
      </w:pPr>
      <w:r w:rsidRPr="00BC63C0">
        <w:t>RADIOLÄÄKKEEN ANTAMINEN</w:t>
      </w:r>
    </w:p>
    <w:p w14:paraId="43B32F0F" w14:textId="141B6DEC" w:rsidR="00BC63C0" w:rsidRDefault="00BC63C0" w:rsidP="00BC63C0">
      <w:pPr>
        <w:pStyle w:val="Luettelokappale"/>
        <w:numPr>
          <w:ilvl w:val="0"/>
          <w:numId w:val="35"/>
        </w:numPr>
        <w:ind w:left="1276"/>
      </w:pPr>
      <w:r w:rsidRPr="00BC63C0">
        <w:t xml:space="preserve">Radiolääke annetaan laskimonsisäisenä injektiona ensisijaisesti </w:t>
      </w:r>
      <w:hyperlink r:id="rId17" w:history="1">
        <w:proofErr w:type="spellStart"/>
        <w:r w:rsidRPr="00BC63C0">
          <w:rPr>
            <w:color w:val="0000FF"/>
            <w:u w:val="single"/>
          </w:rPr>
          <w:t>Posijet</w:t>
        </w:r>
        <w:proofErr w:type="spellEnd"/>
        <w:r w:rsidRPr="00BC63C0">
          <w:rPr>
            <w:color w:val="0000FF"/>
            <w:u w:val="single"/>
          </w:rPr>
          <w:t>- automaattiannostelijalla</w:t>
        </w:r>
      </w:hyperlink>
      <w:r w:rsidRPr="00BC63C0">
        <w:t xml:space="preserve"> (ke</w:t>
      </w:r>
      <w:r w:rsidR="0010528F">
        <w:t>rössä</w:t>
      </w:r>
      <w:r w:rsidRPr="00BC63C0">
        <w:t xml:space="preserve">). </w:t>
      </w:r>
      <w:hyperlink r:id="rId18" w:history="1">
        <w:r w:rsidRPr="00BC63C0">
          <w:rPr>
            <w:color w:val="0000FF"/>
            <w:u w:val="single"/>
          </w:rPr>
          <w:t>Käsiannostelu</w:t>
        </w:r>
      </w:hyperlink>
      <w:r w:rsidRPr="00BC63C0">
        <w:t xml:space="preserve"> suoritetaan isotooppiosastolla noin 10 min ennen injektiota ja radiolääke kuljetetaan </w:t>
      </w:r>
      <w:proofErr w:type="spellStart"/>
      <w:r w:rsidRPr="00BC63C0">
        <w:t>ke</w:t>
      </w:r>
      <w:r w:rsidR="0010528F">
        <w:t>röön</w:t>
      </w:r>
      <w:proofErr w:type="spellEnd"/>
      <w:r w:rsidRPr="00BC63C0">
        <w:t xml:space="preserve"> lyijylaukussa.</w:t>
      </w:r>
    </w:p>
    <w:p w14:paraId="06690477" w14:textId="77777777" w:rsidR="00BC63C0" w:rsidRDefault="00BC63C0" w:rsidP="00BC63C0">
      <w:pPr>
        <w:pStyle w:val="Luettelokappale"/>
        <w:numPr>
          <w:ilvl w:val="0"/>
          <w:numId w:val="35"/>
        </w:numPr>
        <w:ind w:left="1276"/>
      </w:pPr>
      <w:r w:rsidRPr="00BC63C0">
        <w:t>Laskimo kanyloidaan potilaan haastattelun yhteydessä ennen lepohuoneeseen siirtymistä, jotta radiolääke voidaan injisoida heti annostelun jälkeen.</w:t>
      </w:r>
    </w:p>
    <w:p w14:paraId="49E60491" w14:textId="77777777" w:rsidR="00BC63C0" w:rsidRDefault="00BC63C0" w:rsidP="00BC63C0">
      <w:pPr>
        <w:pStyle w:val="Luettelokappale"/>
        <w:numPr>
          <w:ilvl w:val="0"/>
          <w:numId w:val="35"/>
        </w:numPr>
        <w:ind w:left="1276"/>
      </w:pPr>
      <w:r w:rsidRPr="00BC63C0">
        <w:t xml:space="preserve">Potilas on levossa erillisessä lepohuoneessa </w:t>
      </w:r>
      <w:r w:rsidRPr="00BC63C0">
        <w:rPr>
          <w:rFonts w:cs="Arial"/>
        </w:rPr>
        <w:t xml:space="preserve">lihasten rentouttamiseksi </w:t>
      </w:r>
      <w:r w:rsidRPr="00BC63C0">
        <w:t>tunnin ennen radiolääkkeen antamista ja tunnin radiolääkkeen antamisen jälkeen kuvauksen alkamis</w:t>
      </w:r>
      <w:r w:rsidRPr="00BC63C0">
        <w:softHyphen/>
        <w:t>ajankohtaan asti.</w:t>
      </w:r>
    </w:p>
    <w:p w14:paraId="7FD51E04" w14:textId="77777777" w:rsidR="00BC63C0" w:rsidRPr="00BC63C0" w:rsidRDefault="00BC63C0" w:rsidP="00BC63C0">
      <w:pPr>
        <w:pStyle w:val="Luettelokappale"/>
        <w:numPr>
          <w:ilvl w:val="0"/>
          <w:numId w:val="35"/>
        </w:numPr>
        <w:ind w:left="1276"/>
      </w:pPr>
      <w:r w:rsidRPr="00BC63C0">
        <w:rPr>
          <w:rFonts w:cs="Arial"/>
        </w:rPr>
        <w:t>Levon aikana liikkuminen, lukeminen ja puhelimen käyttö on kielletty.</w:t>
      </w:r>
    </w:p>
    <w:p w14:paraId="04286E4D" w14:textId="03E83F68" w:rsidR="00BC63C0" w:rsidRPr="00BC63C0" w:rsidRDefault="00BC63C0" w:rsidP="00BC63C0">
      <w:pPr>
        <w:pStyle w:val="Luettelokappale"/>
        <w:numPr>
          <w:ilvl w:val="0"/>
          <w:numId w:val="35"/>
        </w:numPr>
        <w:ind w:left="1276"/>
      </w:pPr>
      <w:r w:rsidRPr="00BC63C0">
        <w:t xml:space="preserve">Vain WC-käynnit ja veden juominen on sallittua.  </w:t>
      </w:r>
    </w:p>
    <w:p w14:paraId="1E1C38D8" w14:textId="77777777" w:rsidR="00BC63C0" w:rsidRPr="00BC63C0" w:rsidRDefault="00BC63C0" w:rsidP="00BC63C0">
      <w:pPr>
        <w:ind w:left="851"/>
      </w:pPr>
    </w:p>
    <w:p w14:paraId="3BBD8B23" w14:textId="77777777" w:rsidR="00BC63C0" w:rsidRPr="00BC63C0" w:rsidRDefault="00BC63C0" w:rsidP="00BC63C0">
      <w:r w:rsidRPr="00BC63C0">
        <w:t>LAITTEET</w:t>
      </w:r>
    </w:p>
    <w:p w14:paraId="718FA14B" w14:textId="77777777" w:rsidR="00BC63C0" w:rsidRPr="00BC63C0" w:rsidRDefault="00BC63C0" w:rsidP="00BC63C0">
      <w:pPr>
        <w:numPr>
          <w:ilvl w:val="0"/>
          <w:numId w:val="19"/>
        </w:numPr>
        <w:ind w:left="851" w:firstLine="0"/>
        <w:rPr>
          <w:b/>
        </w:rPr>
      </w:pPr>
      <w:r w:rsidRPr="00BC63C0">
        <w:t xml:space="preserve">Kuvauslaite </w:t>
      </w:r>
      <w:r w:rsidRPr="00BC63C0">
        <w:rPr>
          <w:b/>
        </w:rPr>
        <w:t xml:space="preserve">v. 2021 </w:t>
      </w:r>
      <w:r w:rsidRPr="00BC63C0">
        <w:rPr>
          <w:rFonts w:cs="Arial"/>
          <w:b/>
        </w:rPr>
        <w:t>Siemens Biograph Vision 600</w:t>
      </w:r>
    </w:p>
    <w:p w14:paraId="2E2BA372" w14:textId="77777777" w:rsidR="00BC63C0" w:rsidRPr="00BC63C0" w:rsidRDefault="00BC63C0" w:rsidP="00BC63C0">
      <w:pPr>
        <w:numPr>
          <w:ilvl w:val="0"/>
          <w:numId w:val="19"/>
        </w:numPr>
        <w:ind w:left="851" w:firstLine="0"/>
      </w:pPr>
      <w:r w:rsidRPr="00BC63C0">
        <w:t xml:space="preserve">Verensokerimittari; </w:t>
      </w:r>
      <w:proofErr w:type="spellStart"/>
      <w:r w:rsidRPr="00BC63C0">
        <w:t>Ascensia</w:t>
      </w:r>
      <w:proofErr w:type="spellEnd"/>
      <w:r w:rsidRPr="00BC63C0">
        <w:t xml:space="preserve"> </w:t>
      </w:r>
      <w:proofErr w:type="spellStart"/>
      <w:r w:rsidRPr="00BC63C0">
        <w:t>Contour</w:t>
      </w:r>
      <w:proofErr w:type="spellEnd"/>
      <w:r w:rsidRPr="00BC63C0">
        <w:t>, Bayer (mittaa B-</w:t>
      </w:r>
      <w:proofErr w:type="spellStart"/>
      <w:r w:rsidRPr="00BC63C0">
        <w:t>gluk</w:t>
      </w:r>
      <w:proofErr w:type="spellEnd"/>
      <w:r w:rsidRPr="00BC63C0">
        <w:t>)</w:t>
      </w:r>
    </w:p>
    <w:p w14:paraId="5B2A2727" w14:textId="77777777" w:rsidR="00BC63C0" w:rsidRPr="00BC63C0" w:rsidRDefault="00BC63C0" w:rsidP="00BC63C0"/>
    <w:p w14:paraId="7B2CDBBB" w14:textId="77777777" w:rsidR="00BC63C0" w:rsidRPr="00BC63C0" w:rsidRDefault="00BC63C0" w:rsidP="00BC63C0">
      <w:r w:rsidRPr="00BC63C0">
        <w:t>KUVAUKSEN SUORITUS</w:t>
      </w:r>
    </w:p>
    <w:p w14:paraId="02F6899A" w14:textId="77777777" w:rsidR="00BC63C0" w:rsidRPr="00BC63C0" w:rsidRDefault="00BC63C0" w:rsidP="00BC63C0">
      <w:pPr>
        <w:numPr>
          <w:ilvl w:val="0"/>
          <w:numId w:val="19"/>
        </w:numPr>
        <w:ind w:left="1276" w:hanging="425"/>
      </w:pPr>
      <w:r w:rsidRPr="00BC63C0">
        <w:t xml:space="preserve">Potilaan asettelu kuvaukseen aloitetaan vajaan tunnin kuluttua </w:t>
      </w:r>
      <w:r w:rsidRPr="00BC63C0">
        <w:rPr>
          <w:vertAlign w:val="superscript"/>
        </w:rPr>
        <w:t>18</w:t>
      </w:r>
      <w:r w:rsidRPr="00BC63C0">
        <w:t>F-FDG-in</w:t>
      </w:r>
      <w:r w:rsidRPr="00BC63C0">
        <w:softHyphen/>
        <w:t xml:space="preserve">jektiosta. Tehdään ensin matala-annos TT, jonka jälkeen </w:t>
      </w:r>
      <w:r w:rsidRPr="00BC63C0">
        <w:rPr>
          <w:b/>
        </w:rPr>
        <w:t>tasan tunnin kuluttua injektiosta käynnistetään</w:t>
      </w:r>
      <w:r w:rsidRPr="00BC63C0">
        <w:t xml:space="preserve"> </w:t>
      </w:r>
      <w:r w:rsidRPr="00BC63C0">
        <w:rPr>
          <w:b/>
        </w:rPr>
        <w:t>PET (positroniemissiotomografia) –kuvaus</w:t>
      </w:r>
      <w:r w:rsidRPr="00BC63C0">
        <w:t>.  Kokokehon kuvaus silmien tasolta reisien yläosiin kestää asetteluineen noin 20 min. Kuvaus maskin kanssa sädehoidon suunnittelua varten jatkaa kuvausaikaa 10 min.</w:t>
      </w:r>
    </w:p>
    <w:p w14:paraId="47098561" w14:textId="77777777" w:rsidR="00BC63C0" w:rsidRPr="00BC63C0" w:rsidRDefault="00BC63C0" w:rsidP="00BC63C0">
      <w:pPr>
        <w:numPr>
          <w:ilvl w:val="0"/>
          <w:numId w:val="23"/>
        </w:numPr>
        <w:ind w:left="1276" w:hanging="425"/>
      </w:pPr>
      <w:r w:rsidRPr="00BC63C0">
        <w:t>Potilas tyhjentää virtsarakkonsa tai virtsankeräyspussi tyhjennetään juuri ennen kuvauksen alkamista.</w:t>
      </w:r>
    </w:p>
    <w:p w14:paraId="534EA910" w14:textId="77777777" w:rsidR="00BC63C0" w:rsidRPr="00BC63C0" w:rsidRDefault="00BC63C0" w:rsidP="00BC63C0">
      <w:pPr>
        <w:numPr>
          <w:ilvl w:val="0"/>
          <w:numId w:val="22"/>
        </w:numPr>
        <w:ind w:left="1276" w:hanging="425"/>
      </w:pPr>
      <w:r w:rsidRPr="00BC63C0">
        <w:t>Metalliesineet poistetaan kuvattavalta alueelta ennen kuvausta.</w:t>
      </w:r>
    </w:p>
    <w:p w14:paraId="0BB8BEF4" w14:textId="77777777" w:rsidR="00BC63C0" w:rsidRPr="00BC63C0" w:rsidRDefault="00BC63C0" w:rsidP="00BC63C0">
      <w:pPr>
        <w:numPr>
          <w:ilvl w:val="0"/>
          <w:numId w:val="21"/>
        </w:numPr>
        <w:ind w:left="1276" w:hanging="425"/>
      </w:pPr>
      <w:r w:rsidRPr="00BC63C0">
        <w:t>Asettele ja tue potilas hyvin, potilaan on oltava liikkumatta kuvauksen ajan. Pään ja kaulan alueen kuvauksessa pään liikkumattomuus on erityisen tärkeä.</w:t>
      </w:r>
    </w:p>
    <w:p w14:paraId="49825EF2" w14:textId="77777777" w:rsidR="00BC63C0" w:rsidRPr="00BC63C0" w:rsidRDefault="00BC63C0" w:rsidP="0010528F">
      <w:pPr>
        <w:ind w:left="851"/>
      </w:pPr>
    </w:p>
    <w:p w14:paraId="29814E9F" w14:textId="77777777" w:rsidR="00BC63C0" w:rsidRPr="00BC63C0" w:rsidRDefault="00BC63C0" w:rsidP="00BC63C0">
      <w:pPr>
        <w:numPr>
          <w:ilvl w:val="0"/>
          <w:numId w:val="19"/>
        </w:numPr>
        <w:ind w:left="851" w:firstLine="0"/>
      </w:pPr>
      <w:r w:rsidRPr="00BC63C0">
        <w:t>Tutkimus kestää noin 3 tuntia.</w:t>
      </w:r>
    </w:p>
    <w:p w14:paraId="60B1E208" w14:textId="77777777" w:rsidR="00BC63C0" w:rsidRPr="00BC63C0" w:rsidRDefault="00BC63C0" w:rsidP="00BC63C0">
      <w:pPr>
        <w:ind w:left="851"/>
      </w:pPr>
    </w:p>
    <w:p w14:paraId="2339368F" w14:textId="77777777" w:rsidR="00BC63C0" w:rsidRPr="00BC63C0" w:rsidRDefault="00BC63C0" w:rsidP="00BC63C0">
      <w:r w:rsidRPr="00BC63C0">
        <w:t>TULOS</w:t>
      </w:r>
    </w:p>
    <w:p w14:paraId="64EEC3C5" w14:textId="77777777" w:rsidR="00BC63C0" w:rsidRPr="00BC63C0" w:rsidRDefault="00BC63C0" w:rsidP="00BC63C0">
      <w:pPr>
        <w:ind w:left="851"/>
      </w:pPr>
      <w:r w:rsidRPr="00BC63C0">
        <w:t>Lääkäri analysoi kuvat. Kuvat tallennetaan digitaaliseen arkistoon.</w:t>
      </w:r>
    </w:p>
    <w:p w14:paraId="36D942C5" w14:textId="77777777" w:rsidR="00BC63C0" w:rsidRPr="00BC63C0" w:rsidRDefault="00BC63C0" w:rsidP="00BC63C0">
      <w:pPr>
        <w:ind w:firstLine="851"/>
      </w:pPr>
      <w:r w:rsidRPr="00BC63C0">
        <w:t>Tutkimuksesta annetaan lausunto.</w:t>
      </w:r>
    </w:p>
    <w:p w14:paraId="47E3501D" w14:textId="77777777" w:rsidR="00BC63C0" w:rsidRPr="00BC63C0" w:rsidRDefault="00BC63C0" w:rsidP="00BC63C0"/>
    <w:p w14:paraId="76854C7D" w14:textId="77777777" w:rsidR="00BC63C0" w:rsidRPr="00BC63C0" w:rsidRDefault="00BC63C0" w:rsidP="00BC63C0">
      <w:r w:rsidRPr="00BC63C0">
        <w:t>HUOMAUTUKSET</w:t>
      </w:r>
    </w:p>
    <w:p w14:paraId="72D43D16" w14:textId="77777777" w:rsidR="00BC63C0" w:rsidRPr="00BC63C0" w:rsidRDefault="00BC63C0" w:rsidP="00BC63C0">
      <w:pPr>
        <w:numPr>
          <w:ilvl w:val="0"/>
          <w:numId w:val="29"/>
        </w:numPr>
        <w:tabs>
          <w:tab w:val="num" w:pos="-3402"/>
        </w:tabs>
        <w:ind w:left="1276" w:hanging="425"/>
      </w:pPr>
      <w:r w:rsidRPr="00BC63C0">
        <w:t>Potilaan pituus, paino ja radiolääkkeen annostiedot kirjataan tarkasti ennen kuvauksen aloitusta, koska ne vaikuttavat potilaan tutkimustuloksiin (SUV-arvo).</w:t>
      </w:r>
    </w:p>
    <w:p w14:paraId="53386190" w14:textId="77777777" w:rsidR="00BC63C0" w:rsidRPr="00BC63C0" w:rsidRDefault="00BC63C0" w:rsidP="00BC63C0">
      <w:pPr>
        <w:numPr>
          <w:ilvl w:val="0"/>
          <w:numId w:val="29"/>
        </w:numPr>
        <w:tabs>
          <w:tab w:val="num" w:pos="-3402"/>
        </w:tabs>
        <w:ind w:left="1276" w:hanging="425"/>
      </w:pPr>
      <w:r w:rsidRPr="00BC63C0">
        <w:t>Potilas lepää koko tutkimuksen ajan, myös kädet ovat levossa.</w:t>
      </w:r>
    </w:p>
    <w:p w14:paraId="3503B2CC" w14:textId="77777777" w:rsidR="00BC63C0" w:rsidRPr="00BC63C0" w:rsidRDefault="00BC63C0" w:rsidP="00BC63C0">
      <w:pPr>
        <w:numPr>
          <w:ilvl w:val="0"/>
          <w:numId w:val="33"/>
        </w:numPr>
        <w:ind w:left="1276" w:hanging="425"/>
        <w:contextualSpacing/>
        <w:rPr>
          <w:color w:val="FF0000"/>
        </w:rPr>
      </w:pPr>
      <w:r w:rsidRPr="00BC63C0">
        <w:t xml:space="preserve">Diabeetikkojen verensokerin seuranta: </w:t>
      </w:r>
    </w:p>
    <w:p w14:paraId="69EEFBA5" w14:textId="77777777" w:rsidR="00BC63C0" w:rsidRPr="00BC63C0" w:rsidRDefault="00BC63C0" w:rsidP="00BC63C0">
      <w:pPr>
        <w:numPr>
          <w:ilvl w:val="0"/>
          <w:numId w:val="31"/>
        </w:numPr>
        <w:contextualSpacing/>
      </w:pPr>
      <w:r w:rsidRPr="00BC63C0">
        <w:t>Ravinnotta olon aikana verensokerin tavoitetaso on 5-10 mmol/l. Diabeetikon verensokeria seurataan pikamittauksin sormenpäästä joka toinen tunti, kunnes tutkimus/toimenpide on suoritettu.</w:t>
      </w:r>
    </w:p>
    <w:p w14:paraId="1038EA59" w14:textId="77777777" w:rsidR="00BC63C0" w:rsidRPr="00BC63C0" w:rsidRDefault="00BC63C0" w:rsidP="00BC63C0">
      <w:pPr>
        <w:numPr>
          <w:ilvl w:val="0"/>
          <w:numId w:val="31"/>
        </w:numPr>
        <w:contextualSpacing/>
      </w:pPr>
      <w:r w:rsidRPr="00BC63C0">
        <w:t>Jos verensokeri laskee alle 5 mmol/l, seurataan tiheämmin esim. puolen tunnin välein.</w:t>
      </w:r>
    </w:p>
    <w:p w14:paraId="7283000B" w14:textId="77777777" w:rsidR="00BC63C0" w:rsidRPr="00BC63C0" w:rsidRDefault="00BC63C0" w:rsidP="00BC63C0">
      <w:pPr>
        <w:numPr>
          <w:ilvl w:val="0"/>
          <w:numId w:val="31"/>
        </w:numPr>
        <w:contextualSpacing/>
      </w:pPr>
      <w:r w:rsidRPr="00BC63C0">
        <w:t>Jos verensokeri laskee alle 4 mmol/l, annetaan 2 rkl hunajaa tai siirappia (8 palaa sokeria veteen liotettuna, 8 Siri-piriä, trip –mehu jne.) mielellään vasta juuri ennen kuvausta, jos potilaan vointi sen sallii. Vaikutus alkaa 10-15 min kuluttua.</w:t>
      </w:r>
    </w:p>
    <w:p w14:paraId="26A58A2D" w14:textId="77777777" w:rsidR="00BC63C0" w:rsidRPr="00BC63C0" w:rsidRDefault="00BC63C0" w:rsidP="00BC63C0">
      <w:pPr>
        <w:numPr>
          <w:ilvl w:val="0"/>
          <w:numId w:val="31"/>
        </w:numPr>
        <w:contextualSpacing/>
      </w:pPr>
      <w:r w:rsidRPr="00BC63C0">
        <w:t>Hypoglykemian oireet: hikoilu, vapina, päänsärky, nälkä, heikotus, näköhäiriöt, alentunut keskittymiskyky, ärtyneisyys, uneliaisuus, aggressiivisuus, sydämentykytys. Oireiden tunnistaminen Diapamin annon jälkeen hankalaa, jos potilaalla on matala verensokeri.</w:t>
      </w:r>
    </w:p>
    <w:p w14:paraId="37B2B4A5" w14:textId="4DE7D4CC" w:rsidR="00BC63C0" w:rsidRPr="00BC63C0" w:rsidRDefault="00BC63C0" w:rsidP="00BC63C0">
      <w:pPr>
        <w:numPr>
          <w:ilvl w:val="0"/>
          <w:numId w:val="31"/>
        </w:numPr>
        <w:contextualSpacing/>
        <w:rPr>
          <w:color w:val="FF0000"/>
        </w:rPr>
      </w:pPr>
      <w:r w:rsidRPr="00BC63C0">
        <w:t xml:space="preserve">Ks. Isotooppipalaveri 29.9.2016: Ohjeita diabeetikon ohjaamiseen 18-F-FDG PET-TT-tutkimuksessa, </w:t>
      </w:r>
      <w:proofErr w:type="spellStart"/>
      <w:r w:rsidRPr="00BC63C0">
        <w:t>diab.hoitaja</w:t>
      </w:r>
      <w:proofErr w:type="spellEnd"/>
      <w:r w:rsidRPr="00BC63C0">
        <w:t xml:space="preserve"> Hanna Jämsä, </w:t>
      </w:r>
      <w:proofErr w:type="spellStart"/>
      <w:r w:rsidRPr="00BC63C0">
        <w:t>sis</w:t>
      </w:r>
      <w:proofErr w:type="spellEnd"/>
      <w:r w:rsidRPr="00BC63C0">
        <w:t xml:space="preserve"> pkl. Jos tilaavasta yksiköstä soitetaan isot. osastolle, ohjataan puhelu </w:t>
      </w:r>
      <w:proofErr w:type="spellStart"/>
      <w:r w:rsidRPr="00BC63C0">
        <w:t>sis</w:t>
      </w:r>
      <w:proofErr w:type="spellEnd"/>
      <w:r w:rsidRPr="00BC63C0">
        <w:t xml:space="preserve"> </w:t>
      </w:r>
      <w:proofErr w:type="spellStart"/>
      <w:r w:rsidRPr="00BC63C0">
        <w:t>pkl:n</w:t>
      </w:r>
      <w:proofErr w:type="spellEnd"/>
      <w:r w:rsidRPr="00BC63C0">
        <w:t xml:space="preserve"> diabeteshoitajalle n:o</w:t>
      </w:r>
      <w:r w:rsidRPr="00BC63C0">
        <w:rPr>
          <w:color w:val="FF0000"/>
        </w:rPr>
        <w:t xml:space="preserve"> </w:t>
      </w:r>
      <w:r w:rsidRPr="00BC63C0">
        <w:t xml:space="preserve">08 315 </w:t>
      </w:r>
      <w:r w:rsidRPr="00BC63C0">
        <w:rPr>
          <w:b/>
        </w:rPr>
        <w:t>4265</w:t>
      </w:r>
      <w:r w:rsidRPr="00BC63C0">
        <w:t xml:space="preserve"> </w:t>
      </w:r>
      <w:r w:rsidR="0010528F" w:rsidRPr="00BC63C0">
        <w:t>klo 12–13</w:t>
      </w:r>
      <w:r w:rsidRPr="00BC63C0">
        <w:t>.</w:t>
      </w:r>
    </w:p>
    <w:p w14:paraId="5DC8DEAE" w14:textId="77777777" w:rsidR="00BC63C0" w:rsidRPr="00BC63C0" w:rsidRDefault="00BC63C0" w:rsidP="00BC63C0">
      <w:pPr>
        <w:ind w:left="1304"/>
      </w:pPr>
    </w:p>
    <w:p w14:paraId="7E1390A6" w14:textId="77777777" w:rsidR="00BC63C0" w:rsidRPr="00BC63C0" w:rsidRDefault="00BC63C0" w:rsidP="00BC63C0">
      <w:pPr>
        <w:numPr>
          <w:ilvl w:val="0"/>
          <w:numId w:val="30"/>
        </w:numPr>
        <w:tabs>
          <w:tab w:val="num" w:pos="-3402"/>
        </w:tabs>
        <w:ind w:left="1276" w:hanging="425"/>
        <w:contextualSpacing/>
        <w:jc w:val="both"/>
      </w:pPr>
      <w:r w:rsidRPr="00BC63C0">
        <w:t>Tutkimuspäivänä kuvauksen jälkeen potilas juo taval</w:t>
      </w:r>
      <w:r w:rsidRPr="00BC63C0">
        <w:softHyphen/>
        <w:t>lista enemmän virtsarakon täyttämiseksi ja tyhjentää rakkonsa usein, jotta säteilyannos jäisi mah</w:t>
      </w:r>
      <w:r w:rsidRPr="00BC63C0">
        <w:softHyphen/>
        <w:t>dollisim</w:t>
      </w:r>
      <w:r w:rsidRPr="00BC63C0">
        <w:softHyphen/>
        <w:t>man pieneksi. WC- hygieniaan on kiinnitettävä huomiota: myös miesten on virtsattava istualtaan, sukupuolielimet kuivataan huolellisesti paperilla, WC-pönttö huuhdellaan välittömästi ja kädet pestään hyvin.</w:t>
      </w:r>
    </w:p>
    <w:p w14:paraId="4FA12F88" w14:textId="2175CEB3" w:rsidR="00BC63C0" w:rsidRPr="00BC63C0" w:rsidRDefault="00BC63C0" w:rsidP="00BC63C0">
      <w:pPr>
        <w:numPr>
          <w:ilvl w:val="0"/>
          <w:numId w:val="24"/>
        </w:numPr>
        <w:tabs>
          <w:tab w:val="num" w:pos="-3402"/>
        </w:tabs>
        <w:ind w:left="1276"/>
      </w:pPr>
      <w:r w:rsidRPr="00BC63C0">
        <w:t xml:space="preserve">Imetystauko 12 tuntia. Tänä aikana lypsetty maito kaadetaan viemäriin, ks. Isotooppitutkimuksiin liittyviä yleisohjeita: </w:t>
      </w:r>
      <w:r w:rsidRPr="00BC63C0">
        <w:fldChar w:fldCharType="begin"/>
      </w:r>
      <w:r w:rsidRPr="00BC63C0">
        <w:instrText xml:space="preserve"> HYPERLINK "https://intra.oysnet.ppshp.fi/dokumentit/_layouts/15/WopiFrame.aspx?sourcedoc=%7beae31f1e-88d6-46ce-9ab4-7882f83ad453%7d&amp;action=default" </w:instrText>
      </w:r>
      <w:r w:rsidRPr="00BC63C0">
        <w:fldChar w:fldCharType="separate"/>
      </w:r>
      <w:r w:rsidRPr="00BC63C0">
        <w:rPr>
          <w:color w:val="0000FF"/>
          <w:u w:val="single"/>
        </w:rPr>
        <w:t xml:space="preserve">Syntymättömien ja vastasyntyneiden lasten suojeleminen vanhempien altistuessa säteilylle isotooppitutkimusten tai -hoitojen yhteydessä: Imettävät naiset. </w:t>
      </w:r>
    </w:p>
    <w:p w14:paraId="75A95EBA" w14:textId="1D56A66B" w:rsidR="00BC63C0" w:rsidRPr="00BC63C0" w:rsidRDefault="00BC63C0" w:rsidP="00BC63C0">
      <w:pPr>
        <w:numPr>
          <w:ilvl w:val="0"/>
          <w:numId w:val="24"/>
        </w:numPr>
        <w:tabs>
          <w:tab w:val="num" w:pos="-3402"/>
        </w:tabs>
        <w:ind w:left="1276"/>
      </w:pPr>
      <w:r w:rsidRPr="00BC63C0">
        <w:fldChar w:fldCharType="end"/>
      </w:r>
      <w:r w:rsidRPr="00BC63C0">
        <w:t>12 tunnin aikana tulisi välttää läheistä kanssakäymistä vauvojen kanssa.</w:t>
      </w:r>
    </w:p>
    <w:p w14:paraId="7DA3FC1A" w14:textId="77777777" w:rsidR="00BC63C0" w:rsidRPr="00BC63C0" w:rsidRDefault="00BC63C0" w:rsidP="00BC63C0">
      <w:pPr>
        <w:ind w:left="1276"/>
      </w:pPr>
    </w:p>
    <w:p w14:paraId="170B7F70" w14:textId="77777777" w:rsidR="00BC63C0" w:rsidRPr="00BC63C0" w:rsidRDefault="00BC63C0" w:rsidP="00BC63C0">
      <w:pPr>
        <w:numPr>
          <w:ilvl w:val="0"/>
          <w:numId w:val="24"/>
        </w:numPr>
        <w:tabs>
          <w:tab w:val="num" w:pos="-3402"/>
        </w:tabs>
        <w:ind w:left="1276"/>
      </w:pPr>
      <w:r w:rsidRPr="00BC63C0">
        <w:rPr>
          <w:rFonts w:cs="Arial"/>
        </w:rPr>
        <w:t>Tutkimuksen peruuntuessa potilaasta tai lähettävästä yksiköstä johtuvista syistä tutkimuspäivänä, tutkimuksesta peritään radiolääkkeen hinta.</w:t>
      </w:r>
    </w:p>
    <w:p w14:paraId="2F24A742" w14:textId="4A9DA860" w:rsidR="00BC63C0" w:rsidRPr="00BC63C0" w:rsidRDefault="00BC63C0" w:rsidP="00BC63C0">
      <w:pPr>
        <w:ind w:left="720" w:firstLine="556"/>
        <w:contextualSpacing/>
      </w:pPr>
      <w:hyperlink r:id="rId19" w:history="1">
        <w:r w:rsidRPr="00BC63C0">
          <w:rPr>
            <w:color w:val="0000FF"/>
            <w:u w:val="single"/>
          </w:rPr>
          <w:t xml:space="preserve">Kts. Peruttu Aineenvaihdunnan </w:t>
        </w:r>
        <w:r w:rsidR="0010528F" w:rsidRPr="00BC63C0">
          <w:rPr>
            <w:color w:val="0000FF"/>
            <w:u w:val="single"/>
          </w:rPr>
          <w:t>PET-TT-kuvaus</w:t>
        </w:r>
        <w:r w:rsidRPr="00BC63C0">
          <w:rPr>
            <w:color w:val="0000FF"/>
            <w:u w:val="single"/>
          </w:rPr>
          <w:t>, radiolääkkeen lasku (ZXF48)</w:t>
        </w:r>
      </w:hyperlink>
    </w:p>
    <w:p w14:paraId="2C3151F7" w14:textId="77777777" w:rsidR="00BC63C0" w:rsidRPr="00BC63C0" w:rsidRDefault="00BC63C0" w:rsidP="00BC63C0">
      <w:pPr>
        <w:ind w:left="1276"/>
      </w:pPr>
    </w:p>
    <w:p w14:paraId="7B22330A" w14:textId="77777777" w:rsidR="00BC63C0" w:rsidRPr="00BC63C0" w:rsidRDefault="00BC63C0" w:rsidP="00BC63C0">
      <w:pPr>
        <w:ind w:left="1276"/>
      </w:pPr>
    </w:p>
    <w:p w14:paraId="79E6CBD7" w14:textId="3C6A291E" w:rsidR="00AA2438" w:rsidRPr="00F53A45" w:rsidRDefault="00AA2438" w:rsidP="00D92080"/>
    <w:sectPr w:rsidR="00AA2438" w:rsidRPr="00F53A45" w:rsidSect="007E15E5">
      <w:headerReference w:type="default" r:id="rId20"/>
      <w:footerReference w:type="default" r:id="rId21"/>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endnote>
  <w:endnote w:type="continuationSeparator" w:id="0">
    <w:p w14:paraId="60F1DD15" w14:textId="77777777" w:rsidR="009D2375" w:rsidRDefault="009D237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34BF1337" w:rsidR="009D2375" w:rsidRPr="00BD1530" w:rsidRDefault="00B019DB" w:rsidP="009D2375">
    <w:pPr>
      <w:pStyle w:val="Eivli"/>
      <w:rPr>
        <w:b/>
        <w:bCs/>
      </w:rPr>
    </w:pPr>
    <w:r>
      <w:rPr>
        <w:noProof/>
        <w:szCs w:val="24"/>
      </w:rPr>
      <mc:AlternateContent>
        <mc:Choice Requires="wps">
          <w:drawing>
            <wp:anchor distT="0" distB="0" distL="114300" distR="114300" simplePos="0" relativeHeight="251661312" behindDoc="0" locked="0" layoutInCell="1" allowOverlap="1" wp14:anchorId="2536AE27" wp14:editId="3704E0E2">
              <wp:simplePos x="0" y="0"/>
              <wp:positionH relativeFrom="margin">
                <wp:align>right</wp:align>
              </wp:positionH>
              <wp:positionV relativeFrom="paragraph">
                <wp:posOffset>-481940</wp:posOffset>
              </wp:positionV>
              <wp:extent cx="1960017" cy="229658"/>
              <wp:effectExtent l="0" t="0" r="2540" b="0"/>
              <wp:wrapNone/>
              <wp:docPr id="4" name="Tekstiruutu 4"/>
              <wp:cNvGraphicFramePr/>
              <a:graphic xmlns:a="http://schemas.openxmlformats.org/drawingml/2006/main">
                <a:graphicData uri="http://schemas.microsoft.com/office/word/2010/wordprocessingShape">
                  <wps:wsp>
                    <wps:cNvSpPr txBox="1"/>
                    <wps:spPr>
                      <a:xfrm>
                        <a:off x="0" y="0"/>
                        <a:ext cx="1960017" cy="229658"/>
                      </a:xfrm>
                      <a:prstGeom prst="rect">
                        <a:avLst/>
                      </a:prstGeom>
                      <a:solidFill>
                        <a:schemeClr val="lt1"/>
                      </a:solidFill>
                      <a:ln w="6350">
                        <a:noFill/>
                      </a:ln>
                    </wps:spPr>
                    <wps:txbx>
                      <w:txbxContent>
                        <w:p w14:paraId="35C4E00A" w14:textId="047E91DC" w:rsidR="00B019DB" w:rsidRPr="00B019DB" w:rsidRDefault="00B019DB">
                          <w:pPr>
                            <w:rPr>
                              <w:sz w:val="18"/>
                              <w:szCs w:val="18"/>
                            </w:rPr>
                          </w:pPr>
                          <w:r w:rsidRPr="00B019DB">
                            <w:rPr>
                              <w:sz w:val="18"/>
                              <w:szCs w:val="18"/>
                            </w:rPr>
                            <w:t xml:space="preserve">Hyväksyjä: </w:t>
                          </w:r>
                          <w:r w:rsidR="002103BA">
                            <w:rPr>
                              <w:sz w:val="18"/>
                              <w:szCs w:val="18"/>
                            </w:rPr>
                            <w:t>Salla-Maarit Kokkonen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6AE27" id="_x0000_t202" coordsize="21600,21600" o:spt="202" path="m,l,21600r21600,l21600,xe">
              <v:stroke joinstyle="miter"/>
              <v:path gradientshapeok="t" o:connecttype="rect"/>
            </v:shapetype>
            <v:shape id="Tekstiruutu 4" o:spid="_x0000_s1026" type="#_x0000_t202" style="position:absolute;margin-left:103.15pt;margin-top:-37.95pt;width:154.35pt;height:18.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HfLAIAAFQ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" fillcolor="#fffefe [3201]" stroked="f" strokeweight=".5pt">
              <v:textbox>
                <w:txbxContent>
                  <w:p w14:paraId="35C4E00A" w14:textId="047E91DC" w:rsidR="00B019DB" w:rsidRPr="00B019DB" w:rsidRDefault="00B019DB">
                    <w:pPr>
                      <w:rPr>
                        <w:sz w:val="18"/>
                        <w:szCs w:val="18"/>
                      </w:rPr>
                    </w:pPr>
                    <w:r w:rsidRPr="00B019DB">
                      <w:rPr>
                        <w:sz w:val="18"/>
                        <w:szCs w:val="18"/>
                      </w:rPr>
                      <w:t xml:space="preserve">Hyväksyjä: </w:t>
                    </w:r>
                    <w:r w:rsidR="002103BA">
                      <w:rPr>
                        <w:sz w:val="18"/>
                        <w:szCs w:val="18"/>
                      </w:rPr>
                      <w:t>Salla-Maarit Kokkonen</w:t>
                    </w:r>
                  </w:p>
                </w:txbxContent>
              </v:textbox>
              <w10:wrap anchorx="margin"/>
            </v:shape>
          </w:pict>
        </mc:Fallback>
      </mc:AlternateContent>
    </w:r>
    <w:r>
      <w:rPr>
        <w:noProof/>
        <w:szCs w:val="24"/>
      </w:rPr>
      <mc:AlternateContent>
        <mc:Choice Requires="wps">
          <w:drawing>
            <wp:anchor distT="0" distB="0" distL="114300" distR="114300" simplePos="0" relativeHeight="251659264" behindDoc="0" locked="0" layoutInCell="1" allowOverlap="1" wp14:anchorId="07392420" wp14:editId="658BD9C6">
              <wp:simplePos x="0" y="0"/>
              <wp:positionH relativeFrom="column">
                <wp:posOffset>-8890</wp:posOffset>
              </wp:positionH>
              <wp:positionV relativeFrom="paragraph">
                <wp:posOffset>-479425</wp:posOffset>
              </wp:positionV>
              <wp:extent cx="1855470" cy="230293"/>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1855470" cy="230293"/>
                      </a:xfrm>
                      <a:prstGeom prst="rect">
                        <a:avLst/>
                      </a:prstGeom>
                      <a:solidFill>
                        <a:schemeClr val="lt1"/>
                      </a:solidFill>
                      <a:ln w="6350">
                        <a:noFill/>
                      </a:ln>
                    </wps:spPr>
                    <wps:txbx>
                      <w:txbxContent>
                        <w:p w14:paraId="390078D7" w14:textId="3F464BF4" w:rsidR="00B019DB" w:rsidRPr="00B019DB" w:rsidRDefault="00B019DB">
                          <w:pPr>
                            <w:rPr>
                              <w:sz w:val="18"/>
                              <w:szCs w:val="18"/>
                            </w:rPr>
                          </w:pPr>
                          <w:r w:rsidRPr="00B019DB">
                            <w:rPr>
                              <w:sz w:val="18"/>
                              <w:szCs w:val="18"/>
                            </w:rPr>
                            <w:t xml:space="preserve">Laatija: </w:t>
                          </w:r>
                          <w:r w:rsidR="002103BA">
                            <w:rPr>
                              <w:sz w:val="18"/>
                              <w:szCs w:val="18"/>
                            </w:rPr>
                            <w:t>Aira Karjalainen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2420" id="Tekstiruutu 3" o:spid="_x0000_s1027" type="#_x0000_t202" style="position:absolute;margin-left:-.7pt;margin-top:-37.75pt;width:146.1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" fillcolor="#fffefe [3201]" stroked="f" strokeweight=".5pt">
              <v:textbox>
                <w:txbxContent>
                  <w:p w14:paraId="390078D7" w14:textId="3F464BF4" w:rsidR="00B019DB" w:rsidRPr="00B019DB" w:rsidRDefault="00B019DB">
                    <w:pPr>
                      <w:rPr>
                        <w:sz w:val="18"/>
                        <w:szCs w:val="18"/>
                      </w:rPr>
                    </w:pPr>
                    <w:r w:rsidRPr="00B019DB">
                      <w:rPr>
                        <w:sz w:val="18"/>
                        <w:szCs w:val="18"/>
                      </w:rPr>
                      <w:t xml:space="preserve">Laatija: </w:t>
                    </w:r>
                    <w:r w:rsidR="002103BA">
                      <w:rPr>
                        <w:sz w:val="18"/>
                        <w:szCs w:val="18"/>
                      </w:rPr>
                      <w:t>Aira Karjalainen</w:t>
                    </w:r>
                  </w:p>
                </w:txbxContent>
              </v:textbox>
            </v:shape>
          </w:pict>
        </mc:Fallback>
      </mc:AlternateContent>
    </w:r>
    <w:sdt>
      <w:sdtPr>
        <w:rPr>
          <w:sz w:val="16"/>
          <w:szCs w:val="16"/>
        </w:rPr>
        <w:alias w:val="Otsikko"/>
        <w:tag w:val=""/>
        <w:id w:val="371356685"/>
        <w:showingPlcHdr/>
        <w:dataBinding w:prefixMappings="xmlns:ns0='http://purl.org/dc/elements/1.1/' xmlns:ns1='http://schemas.openxmlformats.org/package/2006/metadata/core-properties' " w:xpath="/ns1:coreProperties[1]/ns0:title[1]" w:storeItemID="{6C3C8BC8-F283-45AE-878A-BAB7291924A1}"/>
        <w:text/>
      </w:sdtPr>
      <w:sdtEndPr/>
      <w:sdtContent>
        <w:r w:rsidR="00DA0E18">
          <w:rPr>
            <w:sz w:val="16"/>
            <w:szCs w:val="16"/>
          </w:rPr>
          <w:t xml:space="preserve">     </w:t>
        </w:r>
      </w:sdtContent>
    </w:sdt>
    <w:r w:rsidR="009D2375">
      <w:rPr>
        <w:szCs w:val="24"/>
      </w:rPr>
      <w:tab/>
    </w:r>
    <w:r w:rsidR="009D2375">
      <w:rPr>
        <w:szCs w:val="24"/>
      </w:rPr>
      <w:tab/>
    </w:r>
    <w:r w:rsidR="009D2375">
      <w:rPr>
        <w:szCs w:val="24"/>
      </w:rPr>
      <w:tab/>
    </w:r>
    <w:r w:rsidR="009D2375">
      <w:rPr>
        <w:szCs w:val="24"/>
      </w:rPr>
      <w:tab/>
    </w:r>
  </w:p>
  <w:p w14:paraId="7CC21439" w14:textId="431816ED"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footnote>
  <w:footnote w:type="continuationSeparator" w:id="0">
    <w:p w14:paraId="7BDD19BC" w14:textId="77777777" w:rsidR="009D2375" w:rsidRDefault="009D237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699B667E" w:rsidR="00BD1530" w:rsidRPr="004E7FC1" w:rsidRDefault="00B019DB" w:rsidP="00BD1530">
          <w:pPr>
            <w:pStyle w:val="Eivli"/>
            <w:rPr>
              <w:b/>
              <w:bCs/>
              <w:sz w:val="20"/>
              <w:szCs w:val="20"/>
            </w:rPr>
          </w:pPr>
          <w:r>
            <w:rPr>
              <w:b/>
              <w:bCs/>
              <w:sz w:val="20"/>
              <w:szCs w:val="20"/>
            </w:rPr>
            <w:t>O</w:t>
          </w:r>
          <w:r w:rsidR="009D2375" w:rsidRPr="004E7FC1">
            <w:rPr>
              <w:b/>
              <w:bCs/>
              <w:sz w:val="20"/>
              <w:szCs w:val="20"/>
            </w:rPr>
            <w:t>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9-05T00:00:00Z">
            <w:dateFormat w:val="d.M.yyyy"/>
            <w:lid w:val="fi-FI"/>
            <w:storeMappedDataAs w:val="dateTime"/>
            <w:calendar w:val="gregorian"/>
          </w:date>
        </w:sdtPr>
        <w:sdtEndPr/>
        <w:sdtContent>
          <w:tc>
            <w:tcPr>
              <w:tcW w:w="3402" w:type="dxa"/>
              <w:vAlign w:val="center"/>
            </w:tcPr>
            <w:p w14:paraId="54748B48" w14:textId="0559B172" w:rsidR="000631E7" w:rsidRPr="004E7FC1" w:rsidRDefault="00BC63C0" w:rsidP="004B08C1">
              <w:pPr>
                <w:pStyle w:val="Eivli"/>
                <w:rPr>
                  <w:sz w:val="20"/>
                  <w:szCs w:val="20"/>
                </w:rPr>
              </w:pPr>
              <w:r>
                <w:rPr>
                  <w:sz w:val="20"/>
                  <w:szCs w:val="20"/>
                </w:rPr>
                <w:t>5.9.2024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1A2C11"/>
    <w:multiLevelType w:val="hybridMultilevel"/>
    <w:tmpl w:val="C5FA8C5A"/>
    <w:lvl w:ilvl="0" w:tplc="040B0001">
      <w:start w:val="1"/>
      <w:numFmt w:val="bullet"/>
      <w:lvlText w:val=""/>
      <w:lvlJc w:val="left"/>
      <w:pPr>
        <w:ind w:left="1068" w:hanging="360"/>
      </w:pPr>
      <w:rPr>
        <w:rFonts w:ascii="Symbol" w:hAnsi="Symbol" w:hint="default"/>
        <w:color w:val="auto"/>
      </w:rPr>
    </w:lvl>
    <w:lvl w:ilvl="1" w:tplc="040B0003" w:tentative="1">
      <w:start w:val="1"/>
      <w:numFmt w:val="bullet"/>
      <w:lvlText w:val="o"/>
      <w:lvlJc w:val="left"/>
      <w:pPr>
        <w:ind w:left="1720" w:hanging="360"/>
      </w:pPr>
      <w:rPr>
        <w:rFonts w:ascii="Courier New" w:hAnsi="Courier New" w:cs="Courier New" w:hint="default"/>
      </w:rPr>
    </w:lvl>
    <w:lvl w:ilvl="2" w:tplc="040B0005" w:tentative="1">
      <w:start w:val="1"/>
      <w:numFmt w:val="bullet"/>
      <w:lvlText w:val=""/>
      <w:lvlJc w:val="left"/>
      <w:pPr>
        <w:ind w:left="2440" w:hanging="360"/>
      </w:pPr>
      <w:rPr>
        <w:rFonts w:ascii="Wingdings" w:hAnsi="Wingdings" w:hint="default"/>
      </w:rPr>
    </w:lvl>
    <w:lvl w:ilvl="3" w:tplc="040B0001" w:tentative="1">
      <w:start w:val="1"/>
      <w:numFmt w:val="bullet"/>
      <w:lvlText w:val=""/>
      <w:lvlJc w:val="left"/>
      <w:pPr>
        <w:ind w:left="3160" w:hanging="360"/>
      </w:pPr>
      <w:rPr>
        <w:rFonts w:ascii="Symbol" w:hAnsi="Symbol" w:hint="default"/>
      </w:rPr>
    </w:lvl>
    <w:lvl w:ilvl="4" w:tplc="040B0003" w:tentative="1">
      <w:start w:val="1"/>
      <w:numFmt w:val="bullet"/>
      <w:lvlText w:val="o"/>
      <w:lvlJc w:val="left"/>
      <w:pPr>
        <w:ind w:left="3880" w:hanging="360"/>
      </w:pPr>
      <w:rPr>
        <w:rFonts w:ascii="Courier New" w:hAnsi="Courier New" w:cs="Courier New" w:hint="default"/>
      </w:rPr>
    </w:lvl>
    <w:lvl w:ilvl="5" w:tplc="040B0005" w:tentative="1">
      <w:start w:val="1"/>
      <w:numFmt w:val="bullet"/>
      <w:lvlText w:val=""/>
      <w:lvlJc w:val="left"/>
      <w:pPr>
        <w:ind w:left="4600" w:hanging="360"/>
      </w:pPr>
      <w:rPr>
        <w:rFonts w:ascii="Wingdings" w:hAnsi="Wingdings" w:hint="default"/>
      </w:rPr>
    </w:lvl>
    <w:lvl w:ilvl="6" w:tplc="040B0001" w:tentative="1">
      <w:start w:val="1"/>
      <w:numFmt w:val="bullet"/>
      <w:lvlText w:val=""/>
      <w:lvlJc w:val="left"/>
      <w:pPr>
        <w:ind w:left="5320" w:hanging="360"/>
      </w:pPr>
      <w:rPr>
        <w:rFonts w:ascii="Symbol" w:hAnsi="Symbol" w:hint="default"/>
      </w:rPr>
    </w:lvl>
    <w:lvl w:ilvl="7" w:tplc="040B0003" w:tentative="1">
      <w:start w:val="1"/>
      <w:numFmt w:val="bullet"/>
      <w:lvlText w:val="o"/>
      <w:lvlJc w:val="left"/>
      <w:pPr>
        <w:ind w:left="6040" w:hanging="360"/>
      </w:pPr>
      <w:rPr>
        <w:rFonts w:ascii="Courier New" w:hAnsi="Courier New" w:cs="Courier New" w:hint="default"/>
      </w:rPr>
    </w:lvl>
    <w:lvl w:ilvl="8" w:tplc="040B0005" w:tentative="1">
      <w:start w:val="1"/>
      <w:numFmt w:val="bullet"/>
      <w:lvlText w:val=""/>
      <w:lvlJc w:val="left"/>
      <w:pPr>
        <w:ind w:left="6760" w:hanging="360"/>
      </w:pPr>
      <w:rPr>
        <w:rFonts w:ascii="Wingdings" w:hAnsi="Wingding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5C6829"/>
    <w:multiLevelType w:val="hybridMultilevel"/>
    <w:tmpl w:val="96642446"/>
    <w:lvl w:ilvl="0" w:tplc="87BE0E70">
      <w:start w:val="1"/>
      <w:numFmt w:val="bullet"/>
      <w:lvlText w:val=""/>
      <w:lvlJc w:val="left"/>
      <w:pPr>
        <w:ind w:left="1571" w:hanging="360"/>
      </w:pPr>
      <w:rPr>
        <w:rFonts w:ascii="Symbol" w:hAnsi="Symbol" w:hint="default"/>
        <w:color w:val="auto"/>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7"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517891"/>
    <w:multiLevelType w:val="singleLevel"/>
    <w:tmpl w:val="98E64D0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9BB2187"/>
    <w:multiLevelType w:val="hybridMultilevel"/>
    <w:tmpl w:val="A7944A5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2AAD66CC"/>
    <w:multiLevelType w:val="hybridMultilevel"/>
    <w:tmpl w:val="F60CF624"/>
    <w:lvl w:ilvl="0" w:tplc="040B000B">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3" w15:restartNumberingAfterBreak="0">
    <w:nsid w:val="35C04BFC"/>
    <w:multiLevelType w:val="hybridMultilevel"/>
    <w:tmpl w:val="ABD6CDF4"/>
    <w:lvl w:ilvl="0" w:tplc="040B0003">
      <w:start w:val="1"/>
      <w:numFmt w:val="bullet"/>
      <w:lvlText w:val="o"/>
      <w:lvlJc w:val="left"/>
      <w:pPr>
        <w:ind w:left="1636" w:hanging="360"/>
      </w:pPr>
      <w:rPr>
        <w:rFonts w:ascii="Courier New" w:hAnsi="Courier New" w:cs="Courier New"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4"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B9D3AA6"/>
    <w:multiLevelType w:val="singleLevel"/>
    <w:tmpl w:val="98E64D0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8"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3231AF"/>
    <w:multiLevelType w:val="singleLevel"/>
    <w:tmpl w:val="98E64D0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3A4FB6"/>
    <w:multiLevelType w:val="singleLevel"/>
    <w:tmpl w:val="98E64D0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BF45EF"/>
    <w:multiLevelType w:val="hybridMultilevel"/>
    <w:tmpl w:val="61FC8354"/>
    <w:lvl w:ilvl="0" w:tplc="87BE0E70">
      <w:start w:val="1"/>
      <w:numFmt w:val="bullet"/>
      <w:lvlText w:val=""/>
      <w:lvlJc w:val="left"/>
      <w:pPr>
        <w:ind w:left="1571" w:hanging="360"/>
      </w:pPr>
      <w:rPr>
        <w:rFonts w:ascii="Symbol" w:hAnsi="Symbol" w:hint="default"/>
        <w:color w:val="auto"/>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22" w15:restartNumberingAfterBreak="0">
    <w:nsid w:val="44762E27"/>
    <w:multiLevelType w:val="hybridMultilevel"/>
    <w:tmpl w:val="92D4445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46252F49"/>
    <w:multiLevelType w:val="singleLevel"/>
    <w:tmpl w:val="98E64D0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ED0991"/>
    <w:multiLevelType w:val="singleLevel"/>
    <w:tmpl w:val="481CC81C"/>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B2393A"/>
    <w:multiLevelType w:val="singleLevel"/>
    <w:tmpl w:val="8E3AB484"/>
    <w:lvl w:ilvl="0">
      <w:start w:val="1"/>
      <w:numFmt w:val="bullet"/>
      <w:lvlText w:val=""/>
      <w:lvlJc w:val="left"/>
      <w:pPr>
        <w:tabs>
          <w:tab w:val="num" w:pos="360"/>
        </w:tabs>
        <w:ind w:left="360" w:hanging="360"/>
      </w:pPr>
      <w:rPr>
        <w:rFonts w:ascii="Symbol" w:hAnsi="Symbol" w:hint="default"/>
        <w:color w:val="auto"/>
      </w:rPr>
    </w:lvl>
  </w:abstractNum>
  <w:abstractNum w:abstractNumId="29" w15:restartNumberingAfterBreak="0">
    <w:nsid w:val="654130AA"/>
    <w:multiLevelType w:val="hybridMultilevel"/>
    <w:tmpl w:val="6C3463A2"/>
    <w:lvl w:ilvl="0" w:tplc="A7A6121E">
      <w:start w:val="1"/>
      <w:numFmt w:val="bullet"/>
      <w:lvlText w:val="o"/>
      <w:lvlJc w:val="left"/>
      <w:pPr>
        <w:tabs>
          <w:tab w:val="num" w:pos="1664"/>
        </w:tabs>
        <w:ind w:left="1664" w:hanging="360"/>
      </w:pPr>
      <w:rPr>
        <w:rFonts w:ascii="Courier New" w:hAnsi="Courier New" w:cs="Courier New" w:hint="default"/>
        <w:color w:val="auto"/>
      </w:rPr>
    </w:lvl>
    <w:lvl w:ilvl="1" w:tplc="040B000B">
      <w:start w:val="1"/>
      <w:numFmt w:val="bullet"/>
      <w:lvlText w:val=""/>
      <w:lvlJc w:val="left"/>
      <w:pPr>
        <w:tabs>
          <w:tab w:val="num" w:pos="2384"/>
        </w:tabs>
        <w:ind w:left="2384" w:hanging="360"/>
      </w:pPr>
      <w:rPr>
        <w:rFonts w:ascii="Wingdings" w:hAnsi="Wingdings" w:hint="default"/>
      </w:rPr>
    </w:lvl>
    <w:lvl w:ilvl="2" w:tplc="040B0005">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30" w15:restartNumberingAfterBreak="0">
    <w:nsid w:val="68862DC8"/>
    <w:multiLevelType w:val="hybridMultilevel"/>
    <w:tmpl w:val="342CE99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6F5854FA"/>
    <w:multiLevelType w:val="singleLevel"/>
    <w:tmpl w:val="98E64D0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86130D"/>
    <w:multiLevelType w:val="hybridMultilevel"/>
    <w:tmpl w:val="9696967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34" w15:restartNumberingAfterBreak="0">
    <w:nsid w:val="7636561D"/>
    <w:multiLevelType w:val="hybridMultilevel"/>
    <w:tmpl w:val="BC5A7A7A"/>
    <w:lvl w:ilvl="0" w:tplc="040B0001">
      <w:start w:val="1"/>
      <w:numFmt w:val="bullet"/>
      <w:lvlText w:val=""/>
      <w:lvlJc w:val="left"/>
      <w:pPr>
        <w:ind w:left="1211" w:hanging="360"/>
      </w:pPr>
      <w:rPr>
        <w:rFonts w:ascii="Symbol" w:hAnsi="Symbol"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35" w15:restartNumberingAfterBreak="0">
    <w:nsid w:val="773B63ED"/>
    <w:multiLevelType w:val="hybridMultilevel"/>
    <w:tmpl w:val="6A72F5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A9F6DE6"/>
    <w:multiLevelType w:val="hybridMultilevel"/>
    <w:tmpl w:val="D7043B1E"/>
    <w:lvl w:ilvl="0" w:tplc="87BE0E70">
      <w:start w:val="1"/>
      <w:numFmt w:val="bullet"/>
      <w:lvlText w:val=""/>
      <w:lvlJc w:val="left"/>
      <w:pPr>
        <w:ind w:left="360" w:hanging="360"/>
      </w:pPr>
      <w:rPr>
        <w:rFonts w:ascii="Symbol" w:hAnsi="Symbol" w:hint="default"/>
        <w:color w:val="auto"/>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7BD4442C"/>
    <w:multiLevelType w:val="hybridMultilevel"/>
    <w:tmpl w:val="1AEAD4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173684800">
    <w:abstractNumId w:val="2"/>
  </w:num>
  <w:num w:numId="2" w16cid:durableId="28115240">
    <w:abstractNumId w:val="17"/>
  </w:num>
  <w:num w:numId="3" w16cid:durableId="1214081591">
    <w:abstractNumId w:val="1"/>
  </w:num>
  <w:num w:numId="4" w16cid:durableId="334958258">
    <w:abstractNumId w:val="33"/>
  </w:num>
  <w:num w:numId="5" w16cid:durableId="1641032995">
    <w:abstractNumId w:val="0"/>
  </w:num>
  <w:num w:numId="6" w16cid:durableId="2063944667">
    <w:abstractNumId w:val="12"/>
  </w:num>
  <w:num w:numId="7" w16cid:durableId="1862237714">
    <w:abstractNumId w:val="25"/>
  </w:num>
  <w:num w:numId="8" w16cid:durableId="1754813634">
    <w:abstractNumId w:val="25"/>
  </w:num>
  <w:num w:numId="9" w16cid:durableId="1606114846">
    <w:abstractNumId w:val="25"/>
  </w:num>
  <w:num w:numId="10" w16cid:durableId="1477645058">
    <w:abstractNumId w:val="3"/>
  </w:num>
  <w:num w:numId="11" w16cid:durableId="841121598">
    <w:abstractNumId w:val="27"/>
  </w:num>
  <w:num w:numId="12" w16cid:durableId="225991095">
    <w:abstractNumId w:val="14"/>
  </w:num>
  <w:num w:numId="13" w16cid:durableId="70978191">
    <w:abstractNumId w:val="7"/>
  </w:num>
  <w:num w:numId="14" w16cid:durableId="240528770">
    <w:abstractNumId w:val="18"/>
  </w:num>
  <w:num w:numId="15" w16cid:durableId="452208856">
    <w:abstractNumId w:val="26"/>
  </w:num>
  <w:num w:numId="16" w16cid:durableId="1796949018">
    <w:abstractNumId w:val="9"/>
  </w:num>
  <w:num w:numId="17" w16cid:durableId="627246728">
    <w:abstractNumId w:val="5"/>
  </w:num>
  <w:num w:numId="18" w16cid:durableId="1203321292">
    <w:abstractNumId w:val="15"/>
  </w:num>
  <w:num w:numId="19" w16cid:durableId="825319004">
    <w:abstractNumId w:val="16"/>
  </w:num>
  <w:num w:numId="20" w16cid:durableId="424375958">
    <w:abstractNumId w:val="24"/>
  </w:num>
  <w:num w:numId="21" w16cid:durableId="894507896">
    <w:abstractNumId w:val="23"/>
  </w:num>
  <w:num w:numId="22" w16cid:durableId="480973473">
    <w:abstractNumId w:val="19"/>
  </w:num>
  <w:num w:numId="23" w16cid:durableId="106438284">
    <w:abstractNumId w:val="8"/>
  </w:num>
  <w:num w:numId="24" w16cid:durableId="439951292">
    <w:abstractNumId w:val="28"/>
  </w:num>
  <w:num w:numId="25" w16cid:durableId="363675889">
    <w:abstractNumId w:val="36"/>
  </w:num>
  <w:num w:numId="26" w16cid:durableId="1671366698">
    <w:abstractNumId w:val="21"/>
  </w:num>
  <w:num w:numId="27" w16cid:durableId="292712138">
    <w:abstractNumId w:val="13"/>
  </w:num>
  <w:num w:numId="28" w16cid:durableId="1263997629">
    <w:abstractNumId w:val="6"/>
  </w:num>
  <w:num w:numId="29" w16cid:durableId="1504323204">
    <w:abstractNumId w:val="31"/>
  </w:num>
  <w:num w:numId="30" w16cid:durableId="464351193">
    <w:abstractNumId w:val="20"/>
  </w:num>
  <w:num w:numId="31" w16cid:durableId="1119107334">
    <w:abstractNumId w:val="29"/>
  </w:num>
  <w:num w:numId="32" w16cid:durableId="1604263316">
    <w:abstractNumId w:val="32"/>
  </w:num>
  <w:num w:numId="33" w16cid:durableId="580990901">
    <w:abstractNumId w:val="4"/>
  </w:num>
  <w:num w:numId="34" w16cid:durableId="235677148">
    <w:abstractNumId w:val="35"/>
  </w:num>
  <w:num w:numId="35" w16cid:durableId="1297100361">
    <w:abstractNumId w:val="10"/>
  </w:num>
  <w:num w:numId="36" w16cid:durableId="1241015715">
    <w:abstractNumId w:val="11"/>
  </w:num>
  <w:num w:numId="37" w16cid:durableId="1690064534">
    <w:abstractNumId w:val="22"/>
  </w:num>
  <w:num w:numId="38" w16cid:durableId="1949506327">
    <w:abstractNumId w:val="34"/>
  </w:num>
  <w:num w:numId="39" w16cid:durableId="1057047300">
    <w:abstractNumId w:val="30"/>
  </w:num>
  <w:num w:numId="40" w16cid:durableId="15853979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528F"/>
    <w:rsid w:val="001075B7"/>
    <w:rsid w:val="0010766A"/>
    <w:rsid w:val="00122EED"/>
    <w:rsid w:val="001553A0"/>
    <w:rsid w:val="0016272C"/>
    <w:rsid w:val="001C479F"/>
    <w:rsid w:val="00200C8E"/>
    <w:rsid w:val="002103BA"/>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3D5B"/>
    <w:rsid w:val="00824166"/>
    <w:rsid w:val="00844222"/>
    <w:rsid w:val="00857BC5"/>
    <w:rsid w:val="00863250"/>
    <w:rsid w:val="00864AC8"/>
    <w:rsid w:val="008661A7"/>
    <w:rsid w:val="00867979"/>
    <w:rsid w:val="00885F39"/>
    <w:rsid w:val="00895742"/>
    <w:rsid w:val="008A19EA"/>
    <w:rsid w:val="008A59FA"/>
    <w:rsid w:val="008B51DB"/>
    <w:rsid w:val="00931791"/>
    <w:rsid w:val="00954D4E"/>
    <w:rsid w:val="0096672C"/>
    <w:rsid w:val="00981135"/>
    <w:rsid w:val="00994CA0"/>
    <w:rsid w:val="009C5F4A"/>
    <w:rsid w:val="009D2375"/>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C63C0"/>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14FAA"/>
    <w:rsid w:val="00D21300"/>
    <w:rsid w:val="00D42DB3"/>
    <w:rsid w:val="00D45D47"/>
    <w:rsid w:val="00D725DD"/>
    <w:rsid w:val="00D9023B"/>
    <w:rsid w:val="00D92080"/>
    <w:rsid w:val="00DA0E18"/>
    <w:rsid w:val="00DA4D60"/>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 w:val="00FF7C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92080"/>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autoRedefine/>
    <w:qFormat/>
    <w:rsid w:val="00D92080"/>
    <w:pPr>
      <w:spacing w:before="480" w:after="360"/>
      <w:ind w:left="431" w:hanging="431"/>
    </w:pPr>
    <w:rPr>
      <w:rFonts w:ascii="Trebuchet MS" w:hAnsi="Trebuchet MS" w:cstheme="majorHAnsi"/>
      <w:b/>
      <w:bCs/>
      <w:color w:val="auto"/>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D92080"/>
    <w:pPr>
      <w:spacing w:before="240" w:after="240"/>
      <w:ind w:left="680" w:hanging="680"/>
    </w:pPr>
    <w:rPr>
      <w:rFonts w:ascii="Trebuchet MS" w:hAnsi="Trebuchet MS" w:cstheme="majorHAnsi"/>
      <w:b/>
      <w:bCs/>
      <w:color w:val="auto"/>
      <w:sz w:val="22"/>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D92080"/>
    <w:pPr>
      <w:spacing w:before="360" w:after="240"/>
    </w:pPr>
    <w:rPr>
      <w:rFonts w:ascii="Trebuchet MS" w:hAnsi="Trebuchet MS" w:cstheme="majorHAnsi"/>
      <w:b/>
      <w:bCs/>
      <w:color w:val="auto"/>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 w:type="paragraph" w:styleId="Sisennettyleipteksti">
    <w:name w:val="Body Text Indent"/>
    <w:basedOn w:val="Normaali"/>
    <w:link w:val="SisennettyleiptekstiChar"/>
    <w:uiPriority w:val="99"/>
    <w:semiHidden/>
    <w:unhideWhenUsed/>
    <w:rsid w:val="00BC63C0"/>
    <w:pPr>
      <w:spacing w:after="120"/>
      <w:ind w:left="283"/>
    </w:pPr>
  </w:style>
  <w:style w:type="character" w:customStyle="1" w:styleId="SisennettyleiptekstiChar">
    <w:name w:val="Sisennetty leipäteksti Char"/>
    <w:basedOn w:val="Kappaleenoletusfontti"/>
    <w:link w:val="Sisennettyleipteksti"/>
    <w:uiPriority w:val="99"/>
    <w:semiHidden/>
    <w:rsid w:val="00BC63C0"/>
    <w:rPr>
      <w:rFonts w:ascii="Trebuchet MS" w:eastAsia="Times New Roman" w:hAnsi="Trebuchet MS"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yhtdata/tulosyksikot/50_Sairaanhoidolliset_palvelut/501_Diagnostiikan_vastuualue/5010_Kuvantamisen%20toimialue/Z3377/Ty&#246;ohjeet,%20k&#228;yt&#246;ss&#228;/Kesken%20Aivojen%20aineenvaihdunnan%20pet.docx" TargetMode="External"/><Relationship Id="rId18" Type="http://schemas.openxmlformats.org/officeDocument/2006/relationships/hyperlink" Target="file://yhtdata/tulosyksikot/50_Sairaanhoidolliset_palvelut/501_Diagnostiikan_vastuualue/5010_Kuvantamisen%20toimialue/Z3377/RADIOL&#196;&#196;KKEIDEN%20VALMISTUS/F-18-FDG%20(Steripet)%20-injektioneste%20annosteluohje.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yhtdata/tulosyksikot/50_Sairaanhoidolliset_palvelut/501_Diagnostiikan_vastuualue/5010_Kuvantamisen%20toimialue/Z3377/Ty&#246;ohjeet,%20k&#228;yt&#246;ss&#228;/Syd&#228;men%20aineenvaihdunnan%20PET-TT,%20sarkoidoosin%20arviointi%20oys%20kuv%20men.docx" TargetMode="External"/><Relationship Id="rId17" Type="http://schemas.openxmlformats.org/officeDocument/2006/relationships/hyperlink" Target="file://yhtdata/tulosyksikot/50_Sairaanhoidolliset_palvelut/501_Diagnostiikan_vastuualue/5010_Kuvantamisen%20toimialue/Z3377/Posijet/OHJE%20Posijet%20PPSHP.docx" TargetMode="External"/><Relationship Id="rId2" Type="http://schemas.openxmlformats.org/officeDocument/2006/relationships/customXml" Target="../customXml/item2.xml"/><Relationship Id="rId16" Type="http://schemas.openxmlformats.org/officeDocument/2006/relationships/hyperlink" Target="https://intra.oysnet.ppshp.fi/dokumentit/_layouts/15/WopiFrame.aspx?sourcedoc=%7beae31f1e-88d6-46ce-9ab4-7882f83ad453%7d&amp;action=defau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file://yhtdata/tulosyksikot/50_Sairaanhoidolliset_palvelut/501_Diagnostiikan_vastuualue/5010_Kuvantamisen%20toimialue/Z3377/Ty&#246;ohjeet,%20k&#228;yt&#246;ss&#228;/Syd&#228;men%20aineenvaihdunnan%20PET-TT,%20viabiliteetin%20arviointi%20oys%20kuv%20men.doc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yhtdata/tulosyksikot/50_Sairaanhoidolliset_palvelut/501_Diagnostiikan_vastuualue/5010_Kuvantamisen%20toimialue/Z3377/PET-TT/A%20PET-TT_Tutkimusnimikkeist&#246;%20ja%20peruutus.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yhtdata/tulosyksikot/50_Sairaanhoidolliset_palvelut/501_Diagnostiikan_vastuualue/5010_Kuvantamisen%20toimialue/Z3377/Ty&#246;ohjeet,%20k&#228;yt&#246;ss&#228;/Syd&#228;men%20aineenvaihdunnan%20PET-TT,%20sarkoidoosin%20arviointi%20oys%20kuv%20men.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e7d6957-b623-48c5-941b-77be73948d87" ContentTypeId="0x010100E993358E494F344F8D6048E76D09AF021A" PreviousValue="false"/>
</file>

<file path=customXml/item3.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1313</Value>
      <Value>180</Value>
      <Value>1172</Value>
      <Value>1171</Value>
      <Value>1170</Value>
      <Value>650</Value>
      <Value>980</Value>
      <Value>978</Value>
      <Value>661</Value>
      <Value>530</Value>
      <Value>528</Value>
      <Value>821</Value>
      <Value>42</Value>
      <Value>1</Value>
    </TaxCatchAll>
    <Language xmlns="http://schemas.microsoft.com/sharepoint/v3">Finnish (Finland)</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Vartalo</TermName>
          <TermId xmlns="http://schemas.microsoft.com/office/infopath/2007/PartnerControls">3b19d0f0-710a-4133-b766-da4d9ae00ed9</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i:0#.w|oysnet\karjalab</DisplayName>
        <AccountId>363</AccountId>
        <AccountType/>
      </UserInfo>
      <UserInfo>
        <DisplayName>i:0#.w|oysnet\manninal</DisplayName>
        <AccountId>370</AccountId>
        <AccountType/>
      </UserInfo>
      <UserInfo>
        <DisplayName>i:0#.w|oysnet\vaananmi</DisplayName>
        <AccountId>1512</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kliininen fysiologia ja isotooppilääketiede (PPSHP)</TermName>
          <TermId xmlns="http://schemas.microsoft.com/office/infopath/2007/PartnerControls">10be52ec-d72f-4414-83a0-e978b3b2251e</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JN4DR Keskikehon (kulmakarvoista munuaistasolle) aineenvaihdunnan PET-tietokonetomografia-tutkimus</TermName>
          <TermId xmlns="http://schemas.microsoft.com/office/infopath/2007/PartnerControls">843af11f-7606-4df9-99a4-eb2b899f0b97</TermId>
        </TermInfo>
        <TermInfo xmlns="http://schemas.microsoft.com/office/infopath/2007/PartnerControls">
          <TermName xmlns="http://schemas.microsoft.com/office/infopath/2007/PartnerControls">JN4JR Koko kehon aineenvaihdunnan laaja PET-tietokonetomografiatutkimus</TermName>
          <TermId xmlns="http://schemas.microsoft.com/office/infopath/2007/PartnerControls">edaf0ad0-b1a8-465e-87e0-ce0377fc575b</TermId>
        </TermInfo>
        <TermInfo xmlns="http://schemas.microsoft.com/office/infopath/2007/PartnerControls">
          <TermName xmlns="http://schemas.microsoft.com/office/infopath/2007/PartnerControls">XX1AR Suppean alueen aineenvaihdunnan PET-tietokonetomografiatutkimus</TermName>
          <TermId xmlns="http://schemas.microsoft.com/office/infopath/2007/PartnerControls">35062c61-1660-4ce3-bbf0-29978a0424b0</TermId>
        </TermInfo>
        <TermInfo xmlns="http://schemas.microsoft.com/office/infopath/2007/PartnerControls">
          <TermName xmlns="http://schemas.microsoft.com/office/infopath/2007/PartnerControls">XX1XR Muu PET-tietokonetomografiatutkimus</TermName>
          <TermId xmlns="http://schemas.microsoft.com/office/infopath/2007/PartnerControls">ca50db2e-1fc8-4411-9227-b96a4f2025b9</TermId>
        </TermInfo>
      </Terms>
    </pa7e7d0fcfad4aa78a62dd1f52bdaa2b>
    <Kuvantamisen_x0020_turvallisuusohje xmlns="0af04246-5dcb-4e38-b8a1-4adaeb368127">false</Kuvantamisen_x0020_turvallisuusohje>
    <Dokumjentin_x0020_hyväksyjä xmlns="0af04246-5dcb-4e38-b8a1-4adaeb368127">
      <UserInfo>
        <DisplayName>i:0#.w|oysnet\kokkonsm</DisplayName>
        <AccountId>366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F-röntgen</TermName>
          <TermId xmlns="http://schemas.microsoft.com/office/infopath/2007/PartnerControls">7a8b252b-5427-4881-bb54-12bb230821fb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Menetelmäohje</TermName>
          <TermId xmlns="http://schemas.microsoft.com/office/infopath/2007/PartnerControls">8d7551ed-f25f-4658-af35-e281bf9731e8</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Projektio-/ tutkimusohjeet</TermName>
          <TermId xmlns="http://schemas.microsoft.com/office/infopath/2007/PartnerControls">00f9cfd7-e55b-40e2-b514-2b376e6bcb08</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Isotooppi</TermName>
          <TermId xmlns="http://schemas.microsoft.com/office/infopath/2007/PartnerControls">34089549-f79f-4d4d-844a-676cbbb5d2e1</TermId>
        </TermInfo>
      </Terms>
    </bed6187e51e544269109ff5c30eb1037>
    <dcbfe2a265e14726b4e3bf442009874f xmlns="d3e50268-7799-48af-83c3-9a9b063078bc">
      <Terms xmlns="http://schemas.microsoft.com/office/infopath/2007/PartnerControls"/>
    </dcbfe2a265e14726b4e3bf442009874f>
    <_dlc_DocId xmlns="d3e50268-7799-48af-83c3-9a9b063078bc">PPSHP-1249379545-3998</_dlc_DocId>
    <_dlc_DocIdPersistId xmlns="d3e50268-7799-48af-83c3-9a9b063078bc">false</_dlc_DocIdPersistId>
    <_dlc_DocIdUrl xmlns="d3e50268-7799-48af-83c3-9a9b063078bc">
      <Url>https://julkaisu.oysnet.ppshp.fi/_layouts/15/DocIdRedir.aspx?ID=PPSHP-1249379545-3998</Url>
      <Description>PPSHP-1249379545-3998</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2.xml><?xml version="1.0" encoding="utf-8"?>
<ds:datastoreItem xmlns:ds="http://schemas.openxmlformats.org/officeDocument/2006/customXml" ds:itemID="{3DBA302D-70C5-459C-BD87-FB4E185C2773}"/>
</file>

<file path=customXml/itemProps3.xml><?xml version="1.0" encoding="utf-8"?>
<ds:datastoreItem xmlns:ds="http://schemas.openxmlformats.org/officeDocument/2006/customXml" ds:itemID="{0F1B83C6-8D93-4DBB-B1D7-7EBF6DAF36A7}"/>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9E035773-6CF2-4493-997C-3AB37A3BD2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b4b6cf5-75ed-4a36-b44a-d4264faaec16"/>
    <ds:schemaRef ds:uri="d3e50268-7799-48af-83c3-9a9b063078bc"/>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62BA4D98-20C1-4C4E-A95F-E80E3271E9EB}"/>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10462</Characters>
  <Application>Microsoft Office Word</Application>
  <DocSecurity>0</DocSecurity>
  <Lines>87</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Kokokehon aineenvaihdunnan PET-TT oys kuv men</dc:title>
  <dc:subject/>
  <dc:creator/>
  <cp:keywords/>
  <dc:description/>
  <cp:lastModifiedBy/>
  <cp:revision>1</cp:revision>
  <dcterms:created xsi:type="dcterms:W3CDTF">2024-09-05T12:19:00Z</dcterms:created>
  <dcterms:modified xsi:type="dcterms:W3CDTF">2024-09-05T12:19:00Z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978;#Projektio-/ tutkimusohjeet|00f9cfd7-e55b-40e2-b514-2b376e6bcb08</vt:lpwstr>
  </property>
  <property fmtid="{D5CDD505-2E9C-101B-9397-08002B2CF9AE}" pid="14" name="TaxKeyword">
    <vt:lpwstr/>
  </property>
  <property fmtid="{D5CDD505-2E9C-101B-9397-08002B2CF9AE}" pid="15" name="Kuvantamisen ikäryhmä">
    <vt:lpwstr>821;#Sekä aikuinen että lapsi|03920717-50d3-4d49-800d-6dad76d554d5</vt:lpwstr>
  </property>
  <property fmtid="{D5CDD505-2E9C-101B-9397-08002B2CF9AE}" pid="16" name="Kuvantamisen laite- tai huonetieto">
    <vt:lpwstr/>
  </property>
  <property fmtid="{D5CDD505-2E9C-101B-9397-08002B2CF9AE}" pid="17" name="xd_ProgID">
    <vt:lpwstr/>
  </property>
  <property fmtid="{D5CDD505-2E9C-101B-9397-08002B2CF9AE}" pid="18" name="_EmailSubject">
    <vt:lpwstr>ohjeen ohje</vt:lpwstr>
  </property>
  <property fmtid="{D5CDD505-2E9C-101B-9397-08002B2CF9AE}" pid="19" name="TemplateUrl">
    <vt:lpwstr/>
  </property>
  <property fmtid="{D5CDD505-2E9C-101B-9397-08002B2CF9AE}" pid="20" name="_AuthorEmail">
    <vt:lpwstr>Leila.H.Makela@ppshp.fi</vt:lpwstr>
  </property>
  <property fmtid="{D5CDD505-2E9C-101B-9397-08002B2CF9AE}" pid="21" name="_dlc_DocIdItemGuid">
    <vt:lpwstr>036993ad-8b73-4557-8017-a696e6606721</vt:lpwstr>
  </property>
  <property fmtid="{D5CDD505-2E9C-101B-9397-08002B2CF9AE}" pid="22" name="Dokumentti jaetaan myös ekstranetissä">
    <vt:bool>false</vt:bool>
  </property>
  <property fmtid="{D5CDD505-2E9C-101B-9397-08002B2CF9AE}" pid="23" name="Kuvantamisen ohjeen elinryhmät (sisältötyypin metatieto)">
    <vt:lpwstr>980;#Vartalo|3b19d0f0-710a-4133-b766-da4d9ae00ed9</vt:lpwstr>
  </property>
  <property fmtid="{D5CDD505-2E9C-101B-9397-08002B2CF9AE}" pid="24" name="Erikoisala">
    <vt:lpwstr>528;#kliininen fysiologia ja isotooppilääketiede (PPSHP)|10be52ec-d72f-4414-83a0-e978b3b2251e</vt:lpwstr>
  </property>
  <property fmtid="{D5CDD505-2E9C-101B-9397-08002B2CF9AE}" pid="25" name="Organisaatiotiedon tarkennus toiminnan mukaan">
    <vt:lpwstr/>
  </property>
  <property fmtid="{D5CDD505-2E9C-101B-9397-08002B2CF9AE}" pid="26" name="Kriisiviestintä">
    <vt:lpwstr/>
  </property>
  <property fmtid="{D5CDD505-2E9C-101B-9397-08002B2CF9AE}" pid="27" name="_NewReviewCycle">
    <vt:lpwstr/>
  </property>
  <property fmtid="{D5CDD505-2E9C-101B-9397-08002B2CF9AE}" pid="28" name="Toiminnanohjauskäsikirja">
    <vt:lpwstr>180;#5.3.1.1 hoito-ohjeiden hallinta|b7d9d97a-a7b7-4eec-b389-062c48e444f7</vt:lpwstr>
  </property>
  <property fmtid="{D5CDD505-2E9C-101B-9397-08002B2CF9AE}" pid="29" name="Kuvantamisen ohjeen tutkimusryhmät (sisältötyypin metatieto)">
    <vt:lpwstr>650;#Isotooppi|34089549-f79f-4d4d-844a-676cbbb5d2e1</vt:lpwstr>
  </property>
  <property fmtid="{D5CDD505-2E9C-101B-9397-08002B2CF9AE}" pid="30" name="Organisaatiotieto">
    <vt:lpwstr>530;#F-röntgen|7a8b252b-5427-4881-bb54-12bb230821fb</vt:lpwstr>
  </property>
  <property fmtid="{D5CDD505-2E9C-101B-9397-08002B2CF9AE}" pid="31" name="Kuvantamisen tilaaja vai menetelmä">
    <vt:lpwstr>1313;#Menetelmäohje|8d7551ed-f25f-4658-af35-e281bf9731e8</vt:lpwstr>
  </property>
  <property fmtid="{D5CDD505-2E9C-101B-9397-08002B2CF9AE}" pid="32" name="Toimenpidekoodit">
    <vt:lpwstr>661;#JN4DR Keskikehon (kulmakarvoista munuaistasolle) aineenvaihdunnan PET-tietokonetomografia-tutkimus|843af11f-7606-4df9-99a4-eb2b899f0b97;#1170;#JN4JR Koko kehon aineenvaihdunnan laaja PET-tietokonetomografiatutkimus|edaf0ad0-b1a8-465e-87e0-ce0377fc575b;#1171;#XX1AR Suppean alueen aineenvaihdunnan PET-tietokonetomografiatutkimus|35062c61-1660-4ce3-bbf0-29978a0424b0;#1172;#XX1XR Muu PET-tietokonetomografiatutkimus|ca50db2e-1fc8-4411-9227-b96a4f2025b9</vt:lpwstr>
  </property>
  <property fmtid="{D5CDD505-2E9C-101B-9397-08002B2CF9AE}" pid="33" name="Kohde- / työntekijäryhmä">
    <vt:lpwstr>42;#Potilaan hoitoon osallistuva henkilöstö|21074a2b-1b44-417e-9c72-4d731d4c7a78</vt:lpwstr>
  </property>
  <property fmtid="{D5CDD505-2E9C-101B-9397-08002B2CF9AE}" pid="34" name="xd_Signature">
    <vt:bool>false</vt:bool>
  </property>
  <property fmtid="{D5CDD505-2E9C-101B-9397-08002B2CF9AE}" pid="35" name="MEO">
    <vt:lpwstr/>
  </property>
  <property fmtid="{D5CDD505-2E9C-101B-9397-08002B2CF9AE}" pid="36" name="_AuthorEmailDisplayName">
    <vt:lpwstr>Mäkelä Leila Helena Lab.</vt:lpwstr>
  </property>
  <property fmtid="{D5CDD505-2E9C-101B-9397-08002B2CF9AE}" pid="37" name="Kohdeorganisaatio">
    <vt:lpwstr>1;#Pohjois-Pohjanmaan sairaanhoitopiiri|be8cbbf1-c5fa-44e0-8d6c-f88ba4a3bcc6</vt:lpwstr>
  </property>
  <property fmtid="{D5CDD505-2E9C-101B-9397-08002B2CF9AE}" pid="38" name="Order">
    <vt:r8>399800</vt:r8>
  </property>
  <property fmtid="{D5CDD505-2E9C-101B-9397-08002B2CF9AE}" pid="40" name="TaxKeywordTaxHTField">
    <vt:lpwstr/>
  </property>
  <property fmtid="{D5CDD505-2E9C-101B-9397-08002B2CF9AE}" pid="41" name="SharedWithUsers">
    <vt:lpwstr/>
  </property>
</Properties>
</file>