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AC12" w14:textId="77777777" w:rsidR="001A26CD" w:rsidRPr="005F498C" w:rsidRDefault="001A26CD" w:rsidP="001A26CD">
      <w:pPr>
        <w:pStyle w:val="Potsikko"/>
      </w:pPr>
      <w:r>
        <w:t xml:space="preserve">Kontrastiaineen munuaisturvallisuus </w:t>
      </w:r>
      <w:r w:rsidRPr="005F498C">
        <w:t>lapsipotilailla (&lt;17-vuotiaat),</w:t>
      </w:r>
      <w:r>
        <w:t xml:space="preserve"> </w:t>
      </w:r>
      <w:proofErr w:type="spellStart"/>
      <w:r w:rsidRPr="005F498C">
        <w:t>eGFR:n</w:t>
      </w:r>
      <w:proofErr w:type="spellEnd"/>
      <w:r w:rsidRPr="005F498C">
        <w:t xml:space="preserve"> laskeminen</w:t>
      </w:r>
    </w:p>
    <w:p w14:paraId="3BDC162A" w14:textId="77777777" w:rsidR="001A26CD" w:rsidRDefault="001A26CD" w:rsidP="001A26CD">
      <w:r>
        <w:t xml:space="preserve">Ohjeet kontrastiaineen munuaisturvallisuuden oasalta pätevät niin jodiin kuin </w:t>
      </w:r>
      <w:proofErr w:type="spellStart"/>
      <w:r>
        <w:t>gadoliniumiin</w:t>
      </w:r>
      <w:proofErr w:type="spellEnd"/>
      <w:r>
        <w:t xml:space="preserve">. </w:t>
      </w:r>
    </w:p>
    <w:p w14:paraId="054B2B1E" w14:textId="77777777" w:rsidR="001A26CD" w:rsidRDefault="001A26CD" w:rsidP="001A26CD"/>
    <w:p w14:paraId="2FC1D9EB" w14:textId="77777777" w:rsidR="001A26CD" w:rsidRDefault="001A26CD" w:rsidP="001A26CD">
      <w:r>
        <w:t xml:space="preserve">Perusterveellä &gt; 6 kk lapsella </w:t>
      </w:r>
      <w:proofErr w:type="spellStart"/>
      <w:r>
        <w:t>Krea</w:t>
      </w:r>
      <w:proofErr w:type="spellEnd"/>
      <w:r>
        <w:t>/GFR-määritystä ei tosiaan tarvita ja alle 1 kk ikäiselle kontrastiainetta annetaan vain tarkasti harkiten, jos on aivan pakko.</w:t>
      </w:r>
    </w:p>
    <w:p w14:paraId="3AD1D2CE" w14:textId="77777777" w:rsidR="001A26CD" w:rsidRDefault="001A26CD" w:rsidP="001A26CD"/>
    <w:p w14:paraId="1E90F8C9" w14:textId="2C8BF100" w:rsidR="001A26CD" w:rsidRDefault="001A26CD" w:rsidP="001A26CD">
      <w:r w:rsidRPr="007C6E81">
        <w:t xml:space="preserve">Varjoaineen aiheuttaman </w:t>
      </w:r>
      <w:proofErr w:type="spellStart"/>
      <w:r w:rsidRPr="007C6E81">
        <w:t>nefrotoksisuuden</w:t>
      </w:r>
      <w:proofErr w:type="spellEnd"/>
      <w:r w:rsidRPr="007C6E81">
        <w:t xml:space="preserve"> (CIN) riskitekijöiden uskotaan </w:t>
      </w:r>
      <w:r>
        <w:t xml:space="preserve">lapilla </w:t>
      </w:r>
      <w:r w:rsidRPr="007C6E81">
        <w:t xml:space="preserve">olevan samanlaisia </w:t>
      </w:r>
      <w:r w:rsidRPr="007D6EE7">
        <w:t>k</w:t>
      </w:r>
      <w:r w:rsidRPr="007C6E81">
        <w:t>uin aikuisilla.</w:t>
      </w:r>
      <w:r>
        <w:t xml:space="preserve"> </w:t>
      </w:r>
      <w:proofErr w:type="spellStart"/>
      <w:r w:rsidRPr="005F498C">
        <w:t>Gadolinium</w:t>
      </w:r>
      <w:proofErr w:type="spellEnd"/>
      <w:r w:rsidRPr="005F498C">
        <w:t xml:space="preserve">-tehosteaineen käyttöön voi lapsillakin liittyä riski sairastua </w:t>
      </w:r>
      <w:proofErr w:type="spellStart"/>
      <w:r w:rsidRPr="005F498C">
        <w:t>nefrogeeniseen</w:t>
      </w:r>
      <w:proofErr w:type="spellEnd"/>
      <w:r w:rsidRPr="005F498C">
        <w:t xml:space="preserve"> </w:t>
      </w:r>
      <w:r>
        <w:t xml:space="preserve">systeemiseen fibroosiin (NFS). </w:t>
      </w:r>
      <w:r w:rsidRPr="005F498C">
        <w:t>Lapsilla suositellaan käytettäväksi makrosyklisiä valmisteita, e</w:t>
      </w:r>
      <w:r>
        <w:t xml:space="preserve">sim. </w:t>
      </w:r>
      <w:proofErr w:type="spellStart"/>
      <w:r>
        <w:t>gadoteerihappo</w:t>
      </w:r>
      <w:proofErr w:type="spellEnd"/>
      <w:r>
        <w:t xml:space="preserve"> (</w:t>
      </w:r>
      <w:proofErr w:type="spellStart"/>
      <w:r>
        <w:t>Dotarem</w:t>
      </w:r>
      <w:proofErr w:type="spellEnd"/>
      <w:r>
        <w:t xml:space="preserve">). </w:t>
      </w:r>
    </w:p>
    <w:p w14:paraId="3AA50997" w14:textId="77777777" w:rsidR="001A26CD" w:rsidRDefault="001A26CD" w:rsidP="001A26CD"/>
    <w:p w14:paraId="686DC623" w14:textId="77777777" w:rsidR="001A26CD" w:rsidRPr="005F498C" w:rsidRDefault="001A26CD" w:rsidP="001A26CD">
      <w:r w:rsidRPr="005F498C">
        <w:t xml:space="preserve">Munuaisten toiminta on tarkistettava seuraavilta potilasryhmiltä, kun </w:t>
      </w:r>
      <w:r>
        <w:t>kontrasti</w:t>
      </w:r>
      <w:r w:rsidRPr="005F498C">
        <w:t>aineen käyttöä harkitaan:</w:t>
      </w:r>
    </w:p>
    <w:p w14:paraId="56571636" w14:textId="77777777" w:rsidR="001A26CD" w:rsidRPr="005F498C" w:rsidRDefault="001A26CD" w:rsidP="001A26CD">
      <w:pPr>
        <w:numPr>
          <w:ilvl w:val="0"/>
          <w:numId w:val="40"/>
        </w:numPr>
      </w:pPr>
      <w:r w:rsidRPr="005F498C">
        <w:t>munuaisongelma (esim. yksi munuainen, munuaisoperaation jälkitila, munuaissairaus)</w:t>
      </w:r>
    </w:p>
    <w:p w14:paraId="65FC0C3A" w14:textId="77777777" w:rsidR="001A26CD" w:rsidRPr="005F498C" w:rsidRDefault="001A26CD" w:rsidP="001A26CD">
      <w:pPr>
        <w:numPr>
          <w:ilvl w:val="0"/>
          <w:numId w:val="40"/>
        </w:numPr>
      </w:pPr>
      <w:r w:rsidRPr="005F498C">
        <w:t>annettu kemoterapia tutkimusta edeltävän 6 kuukauden aikana</w:t>
      </w:r>
    </w:p>
    <w:p w14:paraId="116DFB85" w14:textId="77777777" w:rsidR="001A26CD" w:rsidRPr="005F498C" w:rsidRDefault="001A26CD" w:rsidP="001A26CD">
      <w:pPr>
        <w:numPr>
          <w:ilvl w:val="0"/>
          <w:numId w:val="40"/>
        </w:numPr>
      </w:pPr>
      <w:r w:rsidRPr="005F498C">
        <w:t>koholla oleva kreatiniini</w:t>
      </w:r>
    </w:p>
    <w:p w14:paraId="4356C6C0" w14:textId="77777777" w:rsidR="001A26CD" w:rsidRDefault="001A26CD" w:rsidP="001A26CD">
      <w:pPr>
        <w:numPr>
          <w:ilvl w:val="0"/>
          <w:numId w:val="40"/>
        </w:numPr>
      </w:pPr>
      <w:r w:rsidRPr="005F498C">
        <w:t>&lt;6 kuukauden ikäiset</w:t>
      </w:r>
    </w:p>
    <w:p w14:paraId="73139EBF" w14:textId="77777777" w:rsidR="001A26CD" w:rsidRDefault="001A26CD" w:rsidP="001A26CD"/>
    <w:p w14:paraId="52BDEDE9" w14:textId="764F1623" w:rsidR="001A26CD" w:rsidRPr="005F498C" w:rsidRDefault="001A26CD" w:rsidP="001A26CD">
      <w:r>
        <w:t>Akuutisti sairailla täytyy olla mahdollisimman tuore GFR-määritys</w:t>
      </w:r>
      <w:r>
        <w:t xml:space="preserve"> </w:t>
      </w:r>
      <w:r>
        <w:t>(1-2vrk). Muilla potilailla (joilla tarkistus ohjeen mukaan on tarpeen) munuaisfunktion tarkistus on oltava tehtynä viikon sisällä.</w:t>
      </w:r>
    </w:p>
    <w:p w14:paraId="5B5CEC78" w14:textId="77777777" w:rsidR="001A26CD" w:rsidRPr="005F498C" w:rsidRDefault="001A26CD" w:rsidP="001A26CD"/>
    <w:p w14:paraId="16E895DB" w14:textId="77777777" w:rsidR="001A26CD" w:rsidRPr="005F498C" w:rsidRDefault="001A26CD" w:rsidP="001A26CD">
      <w:proofErr w:type="spellStart"/>
      <w:r w:rsidRPr="005F498C">
        <w:t>eGFR:n</w:t>
      </w:r>
      <w:proofErr w:type="spellEnd"/>
      <w:r w:rsidRPr="005F498C">
        <w:t xml:space="preserve"> laskemiseen käytetään </w:t>
      </w:r>
      <w:proofErr w:type="spellStart"/>
      <w:r w:rsidRPr="005F498C">
        <w:t>Schwartzin</w:t>
      </w:r>
      <w:proofErr w:type="spellEnd"/>
      <w:r w:rsidRPr="005F498C">
        <w:t xml:space="preserve"> kaaviota (</w:t>
      </w:r>
      <w:proofErr w:type="spellStart"/>
      <w:r w:rsidRPr="005F498C">
        <w:t>Bedside</w:t>
      </w:r>
      <w:proofErr w:type="spellEnd"/>
      <w:r w:rsidRPr="005F498C">
        <w:t xml:space="preserve"> </w:t>
      </w:r>
      <w:proofErr w:type="spellStart"/>
      <w:r w:rsidRPr="005F498C">
        <w:t>Schwartz</w:t>
      </w:r>
      <w:proofErr w:type="spellEnd"/>
      <w:r w:rsidRPr="005F498C">
        <w:t xml:space="preserve"> Equation), jonka laskuri löytyy osoitteesta:</w:t>
      </w:r>
    </w:p>
    <w:p w14:paraId="73C9B95D" w14:textId="77777777" w:rsidR="001A26CD" w:rsidRPr="00A46FCA" w:rsidRDefault="001A26CD" w:rsidP="001A26CD">
      <w:pPr>
        <w:rPr>
          <w:rStyle w:val="Hyperlinkki"/>
          <w:b/>
        </w:rPr>
      </w:pPr>
      <w:hyperlink r:id="rId12" w:history="1">
        <w:r w:rsidRPr="00655BA4">
          <w:rPr>
            <w:rStyle w:val="Hyperlinkki"/>
            <w:b/>
          </w:rPr>
          <w:t>https://www.niddk.nih.gov/health-information/professionals/clinical-tools-patient-management/kidney-disease/laboratory-evaluation/glomerular-filtration-rate-calculators/children-si-units</w:t>
        </w:r>
      </w:hyperlink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HYPERLINK "https://www.niddk.nih.gov/health-information/professionals/clinical-tools-patient-management/kidney-disease/laboratory-evaluation/glomerular-filtration-rate-calculators/children-si-units" </w:instrText>
      </w:r>
      <w:r>
        <w:rPr>
          <w:b/>
        </w:rPr>
      </w:r>
      <w:r>
        <w:rPr>
          <w:b/>
        </w:rPr>
        <w:fldChar w:fldCharType="separate"/>
      </w:r>
    </w:p>
    <w:p w14:paraId="1CD91794" w14:textId="77777777" w:rsidR="001A26CD" w:rsidRPr="005F498C" w:rsidRDefault="001A26CD" w:rsidP="001A26CD">
      <w:r>
        <w:rPr>
          <w:b/>
        </w:rPr>
        <w:fldChar w:fldCharType="end"/>
      </w:r>
    </w:p>
    <w:p w14:paraId="4F6A46BB" w14:textId="77777777" w:rsidR="001A26CD" w:rsidRPr="005F498C" w:rsidRDefault="001A26CD" w:rsidP="001A26CD">
      <w:r w:rsidRPr="005F498C">
        <w:t xml:space="preserve">Alle 1- vuotiaan GFR normaaliarvo poikkeaa yli 1- vuotiaan lapsen normaaliarvosta. </w:t>
      </w:r>
    </w:p>
    <w:p w14:paraId="3B285617" w14:textId="77777777" w:rsidR="001A26CD" w:rsidRDefault="001A26CD" w:rsidP="001A26CD">
      <w:r w:rsidRPr="005F498C">
        <w:t xml:space="preserve">Alle 1-vuotiaalla </w:t>
      </w:r>
      <w:r>
        <w:t>kontrastiaineen</w:t>
      </w:r>
      <w:r w:rsidRPr="005F498C">
        <w:t xml:space="preserve"> antoa tulee harkita, jos GFR poikkeaa alla olevasta normaaliarvosta.</w:t>
      </w:r>
    </w:p>
    <w:p w14:paraId="55414D3A" w14:textId="77777777" w:rsidR="001A26CD" w:rsidRPr="005F498C" w:rsidRDefault="001A26CD" w:rsidP="001A26CD"/>
    <w:p w14:paraId="157B8840" w14:textId="3E0D6E46" w:rsidR="001A26CD" w:rsidRPr="005F498C" w:rsidRDefault="001A26CD" w:rsidP="001A26CD">
      <w:r w:rsidRPr="005F498C">
        <w:t xml:space="preserve">Huomattavaa on, että alle 1 kk ikäisellä GFR on munuaisten </w:t>
      </w:r>
      <w:r w:rsidRPr="005F498C">
        <w:t>kypsymättömyyden takia</w:t>
      </w:r>
      <w:r w:rsidRPr="005F498C">
        <w:t xml:space="preserve"> </w:t>
      </w:r>
      <w:r>
        <w:br/>
      </w:r>
      <w:r w:rsidRPr="005F498C">
        <w:t xml:space="preserve">normaalistikin &lt; 30 </w:t>
      </w:r>
      <w:proofErr w:type="spellStart"/>
      <w:r w:rsidRPr="005F498C">
        <w:t>mL</w:t>
      </w:r>
      <w:proofErr w:type="spellEnd"/>
      <w:r w:rsidRPr="005F498C">
        <w:t xml:space="preserve"> / min /1.73 m2.</w:t>
      </w:r>
    </w:p>
    <w:p w14:paraId="3F26B533" w14:textId="77777777" w:rsidR="001A26CD" w:rsidRPr="005F498C" w:rsidRDefault="001A26CD" w:rsidP="001A26CD"/>
    <w:p w14:paraId="4B0236F9" w14:textId="77777777" w:rsidR="001A26CD" w:rsidRPr="006D5242" w:rsidRDefault="001A26CD" w:rsidP="001A26CD">
      <w:proofErr w:type="spellStart"/>
      <w:r w:rsidRPr="006D5242">
        <w:t>GFR:n</w:t>
      </w:r>
      <w:proofErr w:type="spellEnd"/>
      <w:r w:rsidRPr="006D5242">
        <w:t xml:space="preserve"> normaaliarvot alle 1-vuotiailla </w:t>
      </w:r>
    </w:p>
    <w:p w14:paraId="2F03D94E" w14:textId="77777777" w:rsidR="001A26CD" w:rsidRPr="007D6EE7" w:rsidRDefault="001A26CD" w:rsidP="001A26CD">
      <w:pPr>
        <w:rPr>
          <w:sz w:val="20"/>
          <w:szCs w:val="20"/>
          <w:lang w:val="en-GB"/>
        </w:rPr>
      </w:pPr>
      <w:proofErr w:type="gramStart"/>
      <w:r w:rsidRPr="007D6EE7">
        <w:rPr>
          <w:sz w:val="20"/>
          <w:szCs w:val="20"/>
        </w:rPr>
        <w:t>( *</w:t>
      </w:r>
      <w:proofErr w:type="gramEnd"/>
      <w:r w:rsidRPr="007D6EE7">
        <w:rPr>
          <w:sz w:val="20"/>
          <w:szCs w:val="20"/>
        </w:rPr>
        <w:t xml:space="preserve"> </w:t>
      </w:r>
      <w:proofErr w:type="spellStart"/>
      <w:r w:rsidRPr="007D6EE7">
        <w:rPr>
          <w:sz w:val="20"/>
          <w:szCs w:val="20"/>
        </w:rPr>
        <w:t>Piepsz</w:t>
      </w:r>
      <w:proofErr w:type="spellEnd"/>
      <w:r w:rsidRPr="007D6EE7">
        <w:rPr>
          <w:sz w:val="20"/>
          <w:szCs w:val="20"/>
        </w:rPr>
        <w:t xml:space="preserve"> A ym. </w:t>
      </w:r>
      <w:proofErr w:type="spellStart"/>
      <w:r w:rsidRPr="007D6EE7">
        <w:rPr>
          <w:sz w:val="20"/>
          <w:szCs w:val="20"/>
          <w:lang w:val="en-GB"/>
        </w:rPr>
        <w:t>Eur</w:t>
      </w:r>
      <w:proofErr w:type="spellEnd"/>
      <w:r w:rsidRPr="007D6EE7">
        <w:rPr>
          <w:sz w:val="20"/>
          <w:szCs w:val="20"/>
          <w:lang w:val="en-GB"/>
        </w:rPr>
        <w:t xml:space="preserve"> J </w:t>
      </w:r>
      <w:proofErr w:type="spellStart"/>
      <w:r w:rsidRPr="007D6EE7">
        <w:rPr>
          <w:sz w:val="20"/>
          <w:szCs w:val="20"/>
          <w:lang w:val="en-GB"/>
        </w:rPr>
        <w:t>Nucl</w:t>
      </w:r>
      <w:proofErr w:type="spellEnd"/>
      <w:r w:rsidRPr="007D6EE7">
        <w:rPr>
          <w:sz w:val="20"/>
          <w:szCs w:val="20"/>
          <w:lang w:val="en-GB"/>
        </w:rPr>
        <w:t xml:space="preserve"> Med Mol Imaging 2006, ** ESPN Handbook 2002) </w:t>
      </w:r>
    </w:p>
    <w:p w14:paraId="41B45FED" w14:textId="77777777" w:rsidR="001A26CD" w:rsidRDefault="001A26CD" w:rsidP="001A26CD">
      <w:pPr>
        <w:rPr>
          <w:lang w:val="en-GB"/>
        </w:rPr>
      </w:pPr>
    </w:p>
    <w:tbl>
      <w:tblPr>
        <w:tblStyle w:val="TaulukkoRuudukko"/>
        <w:tblW w:w="0" w:type="auto"/>
        <w:tblInd w:w="392" w:type="dxa"/>
        <w:tblLook w:val="04A0" w:firstRow="1" w:lastRow="0" w:firstColumn="1" w:lastColumn="0" w:noHBand="0" w:noVBand="1"/>
      </w:tblPr>
      <w:tblGrid>
        <w:gridCol w:w="2586"/>
        <w:gridCol w:w="2586"/>
        <w:gridCol w:w="2587"/>
        <w:gridCol w:w="1280"/>
      </w:tblGrid>
      <w:tr w:rsidR="001A26CD" w:rsidRPr="007D6EE7" w14:paraId="18D1BABB" w14:textId="77777777" w:rsidTr="008A6E67">
        <w:trPr>
          <w:trHeight w:val="275"/>
        </w:trPr>
        <w:tc>
          <w:tcPr>
            <w:tcW w:w="2586" w:type="dxa"/>
          </w:tcPr>
          <w:p w14:paraId="3FD0D1BA" w14:textId="77777777" w:rsidR="001A26CD" w:rsidRPr="007D6EE7" w:rsidRDefault="001A26CD" w:rsidP="001A26CD">
            <w:pPr>
              <w:rPr>
                <w:b/>
                <w:sz w:val="20"/>
                <w:szCs w:val="20"/>
                <w:lang w:val="en-GB"/>
              </w:rPr>
            </w:pPr>
            <w:r w:rsidRPr="007D6EE7">
              <w:rPr>
                <w:b/>
                <w:sz w:val="20"/>
                <w:szCs w:val="20"/>
              </w:rPr>
              <w:t>** Ikä (kk)</w:t>
            </w:r>
          </w:p>
        </w:tc>
        <w:tc>
          <w:tcPr>
            <w:tcW w:w="2586" w:type="dxa"/>
          </w:tcPr>
          <w:p w14:paraId="490AA31D" w14:textId="77777777" w:rsidR="001A26CD" w:rsidRPr="007D6EE7" w:rsidRDefault="001A26CD" w:rsidP="001A26CD">
            <w:pPr>
              <w:rPr>
                <w:b/>
                <w:sz w:val="20"/>
                <w:szCs w:val="20"/>
                <w:lang w:val="en-GB"/>
              </w:rPr>
            </w:pPr>
            <w:r w:rsidRPr="007D6EE7">
              <w:rPr>
                <w:b/>
                <w:sz w:val="20"/>
                <w:szCs w:val="20"/>
              </w:rPr>
              <w:t>GFR</w:t>
            </w:r>
          </w:p>
        </w:tc>
        <w:tc>
          <w:tcPr>
            <w:tcW w:w="2587" w:type="dxa"/>
          </w:tcPr>
          <w:p w14:paraId="38206182" w14:textId="530E959C" w:rsidR="001A26CD" w:rsidRPr="007D6EE7" w:rsidRDefault="001A26CD" w:rsidP="001A26CD">
            <w:pPr>
              <w:rPr>
                <w:b/>
                <w:sz w:val="20"/>
                <w:szCs w:val="20"/>
                <w:lang w:val="en-GB"/>
              </w:rPr>
            </w:pPr>
            <w:r w:rsidRPr="007D6EE7">
              <w:rPr>
                <w:b/>
                <w:sz w:val="20"/>
                <w:szCs w:val="20"/>
              </w:rPr>
              <w:t>*ikä (vk)</w:t>
            </w:r>
          </w:p>
        </w:tc>
        <w:tc>
          <w:tcPr>
            <w:tcW w:w="1280" w:type="dxa"/>
          </w:tcPr>
          <w:p w14:paraId="4D498720" w14:textId="77777777" w:rsidR="001A26CD" w:rsidRPr="007D6EE7" w:rsidRDefault="001A26CD" w:rsidP="001A26CD">
            <w:pPr>
              <w:rPr>
                <w:b/>
                <w:sz w:val="20"/>
                <w:szCs w:val="20"/>
                <w:lang w:val="en-GB"/>
              </w:rPr>
            </w:pPr>
            <w:r w:rsidRPr="007D6EE7">
              <w:rPr>
                <w:b/>
                <w:sz w:val="20"/>
                <w:szCs w:val="20"/>
              </w:rPr>
              <w:t>GFR</w:t>
            </w:r>
          </w:p>
        </w:tc>
      </w:tr>
      <w:tr w:rsidR="001A26CD" w:rsidRPr="007D6EE7" w14:paraId="3BAF855B" w14:textId="77777777" w:rsidTr="008A6E67">
        <w:tc>
          <w:tcPr>
            <w:tcW w:w="2586" w:type="dxa"/>
          </w:tcPr>
          <w:p w14:paraId="40F5652F" w14:textId="77777777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≤ 1.2</w:t>
            </w:r>
          </w:p>
        </w:tc>
        <w:tc>
          <w:tcPr>
            <w:tcW w:w="2586" w:type="dxa"/>
          </w:tcPr>
          <w:p w14:paraId="2137A055" w14:textId="5C3C3BFC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52.0 ±</w:t>
            </w:r>
            <w:r w:rsidRPr="007D6EE7">
              <w:rPr>
                <w:sz w:val="20"/>
                <w:szCs w:val="20"/>
              </w:rPr>
              <w:t xml:space="preserve"> 9.0</w:t>
            </w:r>
          </w:p>
        </w:tc>
        <w:tc>
          <w:tcPr>
            <w:tcW w:w="2587" w:type="dxa"/>
          </w:tcPr>
          <w:p w14:paraId="6E0E91B3" w14:textId="77777777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0 (</w:t>
            </w:r>
            <w:proofErr w:type="spellStart"/>
            <w:r w:rsidRPr="007D6EE7">
              <w:rPr>
                <w:sz w:val="20"/>
                <w:szCs w:val="20"/>
              </w:rPr>
              <w:t>täysaik</w:t>
            </w:r>
            <w:proofErr w:type="spellEnd"/>
            <w:r w:rsidRPr="007D6EE7">
              <w:rPr>
                <w:sz w:val="20"/>
                <w:szCs w:val="20"/>
              </w:rPr>
              <w:t>.)</w:t>
            </w:r>
          </w:p>
        </w:tc>
        <w:tc>
          <w:tcPr>
            <w:tcW w:w="1280" w:type="dxa"/>
          </w:tcPr>
          <w:p w14:paraId="3FF88267" w14:textId="7CC9C8B9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15–20</w:t>
            </w:r>
          </w:p>
        </w:tc>
      </w:tr>
      <w:tr w:rsidR="001A26CD" w:rsidRPr="007D6EE7" w14:paraId="6748427C" w14:textId="77777777" w:rsidTr="008A6E67">
        <w:tc>
          <w:tcPr>
            <w:tcW w:w="2586" w:type="dxa"/>
          </w:tcPr>
          <w:p w14:paraId="579BC907" w14:textId="1D150F10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1.2–3.6</w:t>
            </w:r>
          </w:p>
        </w:tc>
        <w:tc>
          <w:tcPr>
            <w:tcW w:w="2586" w:type="dxa"/>
          </w:tcPr>
          <w:p w14:paraId="0E7BEAA3" w14:textId="6A88C266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61.7 ±</w:t>
            </w:r>
            <w:r w:rsidRPr="007D6EE7">
              <w:rPr>
                <w:sz w:val="20"/>
                <w:szCs w:val="20"/>
              </w:rPr>
              <w:t xml:space="preserve"> 14.3</w:t>
            </w:r>
          </w:p>
        </w:tc>
        <w:tc>
          <w:tcPr>
            <w:tcW w:w="2587" w:type="dxa"/>
          </w:tcPr>
          <w:p w14:paraId="42E52191" w14:textId="77777777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1</w:t>
            </w:r>
          </w:p>
        </w:tc>
        <w:tc>
          <w:tcPr>
            <w:tcW w:w="1280" w:type="dxa"/>
          </w:tcPr>
          <w:p w14:paraId="6B4593E9" w14:textId="3184B319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24–39</w:t>
            </w:r>
          </w:p>
        </w:tc>
      </w:tr>
      <w:tr w:rsidR="001A26CD" w:rsidRPr="007D6EE7" w14:paraId="654731D1" w14:textId="77777777" w:rsidTr="008A6E67">
        <w:tc>
          <w:tcPr>
            <w:tcW w:w="2586" w:type="dxa"/>
          </w:tcPr>
          <w:p w14:paraId="5A2B7E2A" w14:textId="40336110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3.6–7.9</w:t>
            </w:r>
          </w:p>
        </w:tc>
        <w:tc>
          <w:tcPr>
            <w:tcW w:w="2586" w:type="dxa"/>
          </w:tcPr>
          <w:p w14:paraId="5193F968" w14:textId="7E3E55A4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71.7 ±</w:t>
            </w:r>
            <w:r w:rsidRPr="007D6EE7">
              <w:rPr>
                <w:sz w:val="20"/>
                <w:szCs w:val="20"/>
              </w:rPr>
              <w:t xml:space="preserve"> 13.9</w:t>
            </w:r>
          </w:p>
        </w:tc>
        <w:tc>
          <w:tcPr>
            <w:tcW w:w="2587" w:type="dxa"/>
          </w:tcPr>
          <w:p w14:paraId="34D3F70E" w14:textId="77777777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</w:tcPr>
          <w:p w14:paraId="42B9999F" w14:textId="49B239DA" w:rsidR="001A26CD" w:rsidRPr="007D6EE7" w:rsidRDefault="001A26CD" w:rsidP="001A26CD">
            <w:pPr>
              <w:rPr>
                <w:sz w:val="20"/>
                <w:szCs w:val="20"/>
                <w:lang w:val="en-GB"/>
              </w:rPr>
            </w:pPr>
            <w:r w:rsidRPr="007D6EE7">
              <w:rPr>
                <w:sz w:val="20"/>
                <w:szCs w:val="20"/>
              </w:rPr>
              <w:t>35–45</w:t>
            </w:r>
          </w:p>
        </w:tc>
      </w:tr>
      <w:tr w:rsidR="001A26CD" w:rsidRPr="007D6EE7" w14:paraId="68B5946C" w14:textId="77777777" w:rsidTr="008A6E67">
        <w:tc>
          <w:tcPr>
            <w:tcW w:w="2586" w:type="dxa"/>
          </w:tcPr>
          <w:p w14:paraId="774EFC95" w14:textId="697F3E85" w:rsidR="001A26CD" w:rsidRPr="007D6EE7" w:rsidRDefault="001A26CD" w:rsidP="001A26CD">
            <w:pPr>
              <w:rPr>
                <w:sz w:val="20"/>
                <w:szCs w:val="20"/>
              </w:rPr>
            </w:pPr>
            <w:r w:rsidRPr="007D6EE7">
              <w:rPr>
                <w:sz w:val="20"/>
                <w:szCs w:val="20"/>
              </w:rPr>
              <w:t>7.9–12</w:t>
            </w:r>
          </w:p>
        </w:tc>
        <w:tc>
          <w:tcPr>
            <w:tcW w:w="2586" w:type="dxa"/>
          </w:tcPr>
          <w:p w14:paraId="2C3CE248" w14:textId="1A914B9D" w:rsidR="001A26CD" w:rsidRPr="007D6EE7" w:rsidRDefault="001A26CD" w:rsidP="001A26CD">
            <w:pPr>
              <w:rPr>
                <w:sz w:val="20"/>
                <w:szCs w:val="20"/>
              </w:rPr>
            </w:pPr>
            <w:r w:rsidRPr="007D6EE7">
              <w:rPr>
                <w:sz w:val="20"/>
                <w:szCs w:val="20"/>
              </w:rPr>
              <w:t>82.6 ±</w:t>
            </w:r>
            <w:r w:rsidRPr="007D6EE7">
              <w:rPr>
                <w:sz w:val="20"/>
                <w:szCs w:val="20"/>
              </w:rPr>
              <w:t xml:space="preserve"> 17.3</w:t>
            </w:r>
          </w:p>
        </w:tc>
        <w:tc>
          <w:tcPr>
            <w:tcW w:w="2587" w:type="dxa"/>
          </w:tcPr>
          <w:p w14:paraId="36C1AB44" w14:textId="77777777" w:rsidR="001A26CD" w:rsidRPr="007D6EE7" w:rsidRDefault="001A26CD" w:rsidP="001A26C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3ED411A4" w14:textId="77777777" w:rsidR="001A26CD" w:rsidRPr="007D6EE7" w:rsidRDefault="001A26CD" w:rsidP="001A26CD">
            <w:pPr>
              <w:rPr>
                <w:sz w:val="20"/>
                <w:szCs w:val="20"/>
              </w:rPr>
            </w:pPr>
          </w:p>
        </w:tc>
      </w:tr>
    </w:tbl>
    <w:p w14:paraId="190BD6E4" w14:textId="77777777" w:rsidR="001A26CD" w:rsidRDefault="001A26CD" w:rsidP="001A26CD">
      <w:pPr>
        <w:rPr>
          <w:lang w:val="en-GB"/>
        </w:rPr>
      </w:pPr>
    </w:p>
    <w:p w14:paraId="32EC2D5E" w14:textId="77777777" w:rsidR="001A26CD" w:rsidRDefault="001A26C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763FB2A1" w14:textId="55623084" w:rsidR="001A26CD" w:rsidRPr="005F498C" w:rsidRDefault="001A26CD" w:rsidP="001A26CD">
      <w:r w:rsidRPr="005F498C">
        <w:rPr>
          <w:b/>
        </w:rPr>
        <w:lastRenderedPageBreak/>
        <w:t xml:space="preserve">Yli 1-vuotiaalla </w:t>
      </w:r>
      <w:r>
        <w:t>kontrastiaineen</w:t>
      </w:r>
      <w:r w:rsidRPr="005F498C">
        <w:t xml:space="preserve"> annon rajoina voi käyttää alla olevia GFR arvoja:</w:t>
      </w:r>
    </w:p>
    <w:p w14:paraId="04B4C779" w14:textId="77777777" w:rsidR="001A26CD" w:rsidRPr="005F498C" w:rsidRDefault="001A26CD" w:rsidP="001A26CD">
      <w:pPr>
        <w:numPr>
          <w:ilvl w:val="0"/>
          <w:numId w:val="41"/>
        </w:numPr>
      </w:pPr>
      <w:r w:rsidRPr="005F498C">
        <w:t xml:space="preserve">&gt;90 normaali </w:t>
      </w:r>
      <w:r w:rsidRPr="005F498C">
        <w:rPr>
          <w:rFonts w:ascii="Arial" w:hAnsi="Arial" w:cs="Arial"/>
        </w:rPr>
        <w:t>→</w:t>
      </w:r>
      <w:r w:rsidRPr="005F498C">
        <w:t xml:space="preserve"> turvallista</w:t>
      </w:r>
    </w:p>
    <w:p w14:paraId="26551F89" w14:textId="77777777" w:rsidR="001A26CD" w:rsidRPr="005F498C" w:rsidRDefault="001A26CD" w:rsidP="001A26CD">
      <w:pPr>
        <w:numPr>
          <w:ilvl w:val="0"/>
          <w:numId w:val="41"/>
        </w:numPr>
      </w:pPr>
      <w:r w:rsidRPr="005F498C">
        <w:t xml:space="preserve">60-90 </w:t>
      </w:r>
      <w:r w:rsidRPr="005F498C">
        <w:rPr>
          <w:rFonts w:ascii="Arial" w:hAnsi="Arial" w:cs="Arial"/>
        </w:rPr>
        <w:t>→</w:t>
      </w:r>
      <w:r w:rsidRPr="005F498C">
        <w:t xml:space="preserve"> melko turvallista</w:t>
      </w:r>
    </w:p>
    <w:p w14:paraId="2AA7958D" w14:textId="77777777" w:rsidR="001A26CD" w:rsidRPr="005F498C" w:rsidRDefault="001A26CD" w:rsidP="001A26CD">
      <w:pPr>
        <w:numPr>
          <w:ilvl w:val="0"/>
          <w:numId w:val="41"/>
        </w:numPr>
      </w:pPr>
      <w:r w:rsidRPr="005F498C">
        <w:t xml:space="preserve">30-60 </w:t>
      </w:r>
      <w:r w:rsidRPr="005F498C">
        <w:rPr>
          <w:rFonts w:ascii="Arial" w:hAnsi="Arial" w:cs="Arial"/>
        </w:rPr>
        <w:t>→</w:t>
      </w:r>
      <w:r w:rsidRPr="005F498C">
        <w:t xml:space="preserve"> muut kuvausmenetelm</w:t>
      </w:r>
      <w:r w:rsidRPr="005F498C">
        <w:rPr>
          <w:rFonts w:cs="Trebuchet MS"/>
        </w:rPr>
        <w:t>ä</w:t>
      </w:r>
      <w:r w:rsidRPr="005F498C">
        <w:t>t harkintaan</w:t>
      </w:r>
    </w:p>
    <w:p w14:paraId="7A210056" w14:textId="77777777" w:rsidR="001A26CD" w:rsidRPr="005F498C" w:rsidRDefault="001A26CD" w:rsidP="001A26CD">
      <w:pPr>
        <w:numPr>
          <w:ilvl w:val="0"/>
          <w:numId w:val="41"/>
        </w:numPr>
      </w:pPr>
      <w:r w:rsidRPr="005F498C">
        <w:t xml:space="preserve">&lt;30 vaikea munuaisten vajaatoiminta </w:t>
      </w:r>
      <w:r w:rsidRPr="005F498C">
        <w:rPr>
          <w:rFonts w:ascii="Arial" w:hAnsi="Arial" w:cs="Arial"/>
        </w:rPr>
        <w:t>→</w:t>
      </w:r>
      <w:r w:rsidRPr="005F498C">
        <w:t xml:space="preserve"> </w:t>
      </w:r>
      <w:r w:rsidRPr="00B13CD4">
        <w:t>kontrastiaineen käyttöä vältettävä</w:t>
      </w:r>
    </w:p>
    <w:p w14:paraId="5F16D355" w14:textId="77777777" w:rsidR="001A26CD" w:rsidRPr="005F498C" w:rsidRDefault="001A26CD" w:rsidP="001A26CD"/>
    <w:p w14:paraId="09B659E5" w14:textId="77777777" w:rsidR="001A26CD" w:rsidRDefault="001A26CD" w:rsidP="001A26CD">
      <w:r w:rsidRPr="00B13CD4">
        <w:t>M</w:t>
      </w:r>
      <w:r>
        <w:t xml:space="preserve">agneettitehosteaine, </w:t>
      </w:r>
      <w:proofErr w:type="spellStart"/>
      <w:r>
        <w:t>Gadolinium</w:t>
      </w:r>
      <w:proofErr w:type="spellEnd"/>
    </w:p>
    <w:p w14:paraId="33A35CE4" w14:textId="77777777" w:rsidR="001A26CD" w:rsidRPr="005F498C" w:rsidRDefault="001A26CD" w:rsidP="001A26CD">
      <w:pPr>
        <w:pStyle w:val="Luettelokappale"/>
        <w:numPr>
          <w:ilvl w:val="0"/>
          <w:numId w:val="42"/>
        </w:numPr>
      </w:pPr>
      <w:r w:rsidRPr="00B13CD4">
        <w:t>Alle 1-vuotiailla ja maksansiirtoa odottavilla sekä juuri maksasiirteen saaneilla tulee kontrastiainetta käyttää pienin yksittäinen annos eikä sitä tule uusia seuraavan 7 pv aikana.</w:t>
      </w:r>
      <w:r>
        <w:t xml:space="preserve"> </w:t>
      </w:r>
    </w:p>
    <w:p w14:paraId="1D2F613C" w14:textId="77777777" w:rsidR="001A26CD" w:rsidRPr="005F498C" w:rsidRDefault="001A26CD" w:rsidP="001A26CD"/>
    <w:p w14:paraId="3DB1FC6F" w14:textId="77777777" w:rsidR="001A26CD" w:rsidRDefault="001A26CD" w:rsidP="001A26CD">
      <w:pPr>
        <w:rPr>
          <w:lang w:val="en-GB"/>
        </w:rPr>
      </w:pPr>
      <w:proofErr w:type="spellStart"/>
      <w:r w:rsidRPr="005F498C">
        <w:rPr>
          <w:lang w:val="en-GB"/>
        </w:rPr>
        <w:t>Lisätietoa</w:t>
      </w:r>
      <w:proofErr w:type="spellEnd"/>
      <w:r w:rsidRPr="005F498C">
        <w:rPr>
          <w:lang w:val="en-GB"/>
        </w:rPr>
        <w:t xml:space="preserve">: ACR Manual on Contrast Media, Version </w:t>
      </w:r>
      <w:r>
        <w:rPr>
          <w:lang w:val="en-GB"/>
        </w:rPr>
        <w:t xml:space="preserve">2022 </w:t>
      </w:r>
    </w:p>
    <w:p w14:paraId="702E0CA8" w14:textId="77777777" w:rsidR="001A26CD" w:rsidRPr="005F498C" w:rsidRDefault="001A26CD" w:rsidP="001A26CD">
      <w:pPr>
        <w:rPr>
          <w:lang w:val="en-GB"/>
        </w:rPr>
      </w:pPr>
      <w:r w:rsidRPr="005F498C">
        <w:rPr>
          <w:lang w:val="en-GB"/>
        </w:rPr>
        <w:t>(</w:t>
      </w:r>
      <w:hyperlink r:id="rId13" w:anchor="page=57" w:history="1">
        <w:r>
          <w:rPr>
            <w:rStyle w:val="Hyperlinkki"/>
            <w:lang w:val="en-GB"/>
          </w:rPr>
          <w:t>https://www.acr.org/-/media/ACR/Files/Clinical-Resources/Contrast_Media.pdf#page=57</w:t>
        </w:r>
      </w:hyperlink>
      <w:r w:rsidRPr="005F498C">
        <w:rPr>
          <w:lang w:val="en-GB"/>
        </w:rPr>
        <w:t>)</w:t>
      </w:r>
    </w:p>
    <w:p w14:paraId="79E6CBD7" w14:textId="3C6A291E" w:rsidR="00AA2438" w:rsidRPr="001A26CD" w:rsidRDefault="00AA2438" w:rsidP="001A26CD">
      <w:pPr>
        <w:rPr>
          <w:lang w:val="en-GB"/>
        </w:rPr>
      </w:pPr>
    </w:p>
    <w:sectPr w:rsidR="00AA2438" w:rsidRPr="001A26CD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0ECF3E08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D5A39F8" w:rsidR="009D2375" w:rsidRPr="00BD1530" w:rsidRDefault="003A50F8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F63CB" wp14:editId="722BEB53">
              <wp:simplePos x="0" y="0"/>
              <wp:positionH relativeFrom="column">
                <wp:posOffset>3557712</wp:posOffset>
              </wp:positionH>
              <wp:positionV relativeFrom="paragraph">
                <wp:posOffset>-452921</wp:posOffset>
              </wp:positionV>
              <wp:extent cx="2194560" cy="206734"/>
              <wp:effectExtent l="0" t="0" r="0" b="3175"/>
              <wp:wrapNone/>
              <wp:docPr id="1785856673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2067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8BCCD" w14:textId="39E9DC43" w:rsidR="003A50F8" w:rsidRPr="003A50F8" w:rsidRDefault="003A50F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A50F8">
                            <w:rPr>
                              <w:sz w:val="16"/>
                              <w:szCs w:val="16"/>
                            </w:rPr>
                            <w:t xml:space="preserve">Hyväksyjä: </w:t>
                          </w:r>
                          <w:r w:rsidR="001A26CD">
                            <w:rPr>
                              <w:sz w:val="16"/>
                              <w:szCs w:val="16"/>
                            </w:rPr>
                            <w:t>Perhomaa Marja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F63CB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6" type="#_x0000_t202" style="position:absolute;margin-left:280.15pt;margin-top:-35.65pt;width:172.8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" fillcolor="#fffefe [3201]" stroked="f" strokeweight=".5pt">
              <v:textbox>
                <w:txbxContent>
                  <w:p w14:paraId="6308BCCD" w14:textId="39E9DC43" w:rsidR="003A50F8" w:rsidRPr="003A50F8" w:rsidRDefault="003A50F8">
                    <w:pPr>
                      <w:rPr>
                        <w:sz w:val="16"/>
                        <w:szCs w:val="16"/>
                      </w:rPr>
                    </w:pPr>
                    <w:r w:rsidRPr="003A50F8">
                      <w:rPr>
                        <w:sz w:val="16"/>
                        <w:szCs w:val="16"/>
                      </w:rPr>
                      <w:t xml:space="preserve">Hyväksyjä: </w:t>
                    </w:r>
                    <w:r w:rsidR="001A26CD">
                      <w:rPr>
                        <w:sz w:val="16"/>
                        <w:szCs w:val="16"/>
                      </w:rPr>
                      <w:t>Perhomaa Marja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3E92D" wp14:editId="3F40EC84">
              <wp:simplePos x="0" y="0"/>
              <wp:positionH relativeFrom="column">
                <wp:posOffset>106846</wp:posOffset>
              </wp:positionH>
              <wp:positionV relativeFrom="paragraph">
                <wp:posOffset>-460872</wp:posOffset>
              </wp:positionV>
              <wp:extent cx="2194560" cy="206734"/>
              <wp:effectExtent l="0" t="0" r="0" b="3175"/>
              <wp:wrapNone/>
              <wp:docPr id="9298948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4560" cy="2067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C3622F" w14:textId="3EE33B79" w:rsidR="003A50F8" w:rsidRPr="003A50F8" w:rsidRDefault="003A50F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Laatija: </w:t>
                          </w:r>
                          <w:r w:rsidR="001A26CD">
                            <w:rPr>
                              <w:sz w:val="16"/>
                              <w:szCs w:val="16"/>
                            </w:rPr>
                            <w:t>Kiviahde Marita, 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3E92D" id="_x0000_s1027" type="#_x0000_t202" style="position:absolute;margin-left:8.4pt;margin-top:-36.3pt;width:172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" fillcolor="#fffefe [3201]" stroked="f" strokeweight=".5pt">
              <v:textbox>
                <w:txbxContent>
                  <w:p w14:paraId="32C3622F" w14:textId="3EE33B79" w:rsidR="003A50F8" w:rsidRPr="003A50F8" w:rsidRDefault="003A50F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Laatija: </w:t>
                    </w:r>
                    <w:r w:rsidR="001A26CD">
                      <w:rPr>
                        <w:sz w:val="16"/>
                        <w:szCs w:val="16"/>
                      </w:rPr>
                      <w:t>Kiviahde Marita, 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>
      <w:rPr>
        <w:szCs w:val="24"/>
      </w:rPr>
      <w:tab/>
    </w:r>
    <w:r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A26CD">
          <w:rPr>
            <w:sz w:val="16"/>
            <w:szCs w:val="16"/>
          </w:rPr>
          <w:t xml:space="preserve">Kontrastiaineen käyttö ja </w:t>
        </w:r>
        <w:proofErr w:type="spellStart"/>
        <w:r w:rsidR="001A26CD">
          <w:rPr>
            <w:sz w:val="16"/>
            <w:szCs w:val="16"/>
          </w:rPr>
          <w:t>GFRn</w:t>
        </w:r>
        <w:proofErr w:type="spellEnd"/>
        <w:r w:rsidR="001A26CD">
          <w:rPr>
            <w:sz w:val="16"/>
            <w:szCs w:val="16"/>
          </w:rPr>
          <w:t xml:space="preserve"> laskeminen lapsella </w:t>
        </w:r>
        <w:proofErr w:type="spellStart"/>
        <w:r w:rsidR="001A26CD">
          <w:rPr>
            <w:sz w:val="16"/>
            <w:szCs w:val="16"/>
          </w:rPr>
          <w:t>kuv</w:t>
        </w:r>
        <w:proofErr w:type="spellEnd"/>
        <w:r w:rsidR="001A26CD">
          <w:rPr>
            <w:sz w:val="16"/>
            <w:szCs w:val="16"/>
          </w:rPr>
          <w:t xml:space="preserve"> </w:t>
        </w:r>
        <w:proofErr w:type="spellStart"/>
        <w:r w:rsidR="001A26CD">
          <w:rPr>
            <w:sz w:val="16"/>
            <w:szCs w:val="16"/>
          </w:rPr>
          <w:t>til</w:t>
        </w:r>
        <w:proofErr w:type="spellEnd"/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43D7E05B" w:rsidR="00BD1530" w:rsidRPr="004E7FC1" w:rsidRDefault="001A26CD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70AE0C62" w:rsidR="000631E7" w:rsidRPr="004E7FC1" w:rsidRDefault="00500ED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1-2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1EE627A5" w:rsidR="000631E7" w:rsidRPr="004E7FC1" w:rsidRDefault="003A50F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29.1.2025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CB0E58"/>
    <w:multiLevelType w:val="hybridMultilevel"/>
    <w:tmpl w:val="E078FE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443093"/>
    <w:multiLevelType w:val="hybridMultilevel"/>
    <w:tmpl w:val="C3FE6F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9C713E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F37731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81DEA"/>
    <w:multiLevelType w:val="hybridMultilevel"/>
    <w:tmpl w:val="B2B8BF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2778A"/>
    <w:multiLevelType w:val="hybridMultilevel"/>
    <w:tmpl w:val="47248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A233545"/>
    <w:multiLevelType w:val="hybridMultilevel"/>
    <w:tmpl w:val="9336E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ECE"/>
    <w:multiLevelType w:val="hybridMultilevel"/>
    <w:tmpl w:val="53461A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230437"/>
    <w:multiLevelType w:val="hybridMultilevel"/>
    <w:tmpl w:val="B07E6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4E56"/>
    <w:multiLevelType w:val="hybridMultilevel"/>
    <w:tmpl w:val="1ED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426D04"/>
    <w:multiLevelType w:val="hybridMultilevel"/>
    <w:tmpl w:val="11C6391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65F5B89"/>
    <w:multiLevelType w:val="hybridMultilevel"/>
    <w:tmpl w:val="BA666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E57BD"/>
    <w:multiLevelType w:val="hybridMultilevel"/>
    <w:tmpl w:val="694284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5E56CEE"/>
    <w:multiLevelType w:val="hybridMultilevel"/>
    <w:tmpl w:val="E5626A60"/>
    <w:lvl w:ilvl="0" w:tplc="509286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F386C"/>
    <w:multiLevelType w:val="hybridMultilevel"/>
    <w:tmpl w:val="74B6C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0C65E40"/>
    <w:multiLevelType w:val="hybridMultilevel"/>
    <w:tmpl w:val="66CE5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B5223"/>
    <w:multiLevelType w:val="hybridMultilevel"/>
    <w:tmpl w:val="B06A7CE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A6F32"/>
    <w:multiLevelType w:val="hybridMultilevel"/>
    <w:tmpl w:val="42F66B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62A5"/>
    <w:multiLevelType w:val="hybridMultilevel"/>
    <w:tmpl w:val="2A7AD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7" w15:restartNumberingAfterBreak="0">
    <w:nsid w:val="78EC4239"/>
    <w:multiLevelType w:val="hybridMultilevel"/>
    <w:tmpl w:val="699CF2F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8" w15:restartNumberingAfterBreak="0">
    <w:nsid w:val="7A4869CB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E67006"/>
    <w:multiLevelType w:val="hybridMultilevel"/>
    <w:tmpl w:val="CFBE4D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22"/>
  </w:num>
  <w:num w:numId="3" w16cid:durableId="1214081591">
    <w:abstractNumId w:val="2"/>
  </w:num>
  <w:num w:numId="4" w16cid:durableId="334958258">
    <w:abstractNumId w:val="36"/>
  </w:num>
  <w:num w:numId="5" w16cid:durableId="1641032995">
    <w:abstractNumId w:val="1"/>
  </w:num>
  <w:num w:numId="6" w16cid:durableId="2063944667">
    <w:abstractNumId w:val="17"/>
  </w:num>
  <w:num w:numId="7" w16cid:durableId="1862237714">
    <w:abstractNumId w:val="27"/>
  </w:num>
  <w:num w:numId="8" w16cid:durableId="1754813634">
    <w:abstractNumId w:val="27"/>
  </w:num>
  <w:num w:numId="9" w16cid:durableId="1606114846">
    <w:abstractNumId w:val="27"/>
  </w:num>
  <w:num w:numId="10" w16cid:durableId="1477645058">
    <w:abstractNumId w:val="6"/>
  </w:num>
  <w:num w:numId="11" w16cid:durableId="841121598">
    <w:abstractNumId w:val="31"/>
  </w:num>
  <w:num w:numId="12" w16cid:durableId="225991095">
    <w:abstractNumId w:val="18"/>
  </w:num>
  <w:num w:numId="13" w16cid:durableId="70978191">
    <w:abstractNumId w:val="13"/>
  </w:num>
  <w:num w:numId="14" w16cid:durableId="240528770">
    <w:abstractNumId w:val="23"/>
  </w:num>
  <w:num w:numId="15" w16cid:durableId="452208856">
    <w:abstractNumId w:val="28"/>
  </w:num>
  <w:num w:numId="16" w16cid:durableId="1796949018">
    <w:abstractNumId w:val="14"/>
  </w:num>
  <w:num w:numId="17" w16cid:durableId="627246728">
    <w:abstractNumId w:val="10"/>
  </w:num>
  <w:num w:numId="18" w16cid:durableId="1203321292">
    <w:abstractNumId w:val="20"/>
  </w:num>
  <w:num w:numId="19" w16cid:durableId="1011643616">
    <w:abstractNumId w:val="8"/>
  </w:num>
  <w:num w:numId="20" w16cid:durableId="1029909760">
    <w:abstractNumId w:val="12"/>
  </w:num>
  <w:num w:numId="21" w16cid:durableId="1777169694">
    <w:abstractNumId w:val="38"/>
  </w:num>
  <w:num w:numId="22" w16cid:durableId="1710106382">
    <w:abstractNumId w:val="34"/>
  </w:num>
  <w:num w:numId="23" w16cid:durableId="393432738">
    <w:abstractNumId w:val="39"/>
  </w:num>
  <w:num w:numId="24" w16cid:durableId="931938344">
    <w:abstractNumId w:val="30"/>
  </w:num>
  <w:num w:numId="25" w16cid:durableId="1862552947">
    <w:abstractNumId w:val="24"/>
  </w:num>
  <w:num w:numId="26" w16cid:durableId="577057329">
    <w:abstractNumId w:val="25"/>
  </w:num>
  <w:num w:numId="27" w16cid:durableId="1173179222">
    <w:abstractNumId w:val="19"/>
  </w:num>
  <w:num w:numId="28" w16cid:durableId="101192354">
    <w:abstractNumId w:val="9"/>
  </w:num>
  <w:num w:numId="29" w16cid:durableId="1223055147">
    <w:abstractNumId w:val="32"/>
  </w:num>
  <w:num w:numId="30" w16cid:durableId="114176943">
    <w:abstractNumId w:val="37"/>
  </w:num>
  <w:num w:numId="31" w16cid:durableId="292684988">
    <w:abstractNumId w:val="7"/>
  </w:num>
  <w:num w:numId="32" w16cid:durableId="151139288">
    <w:abstractNumId w:val="15"/>
  </w:num>
  <w:num w:numId="33" w16cid:durableId="914783158">
    <w:abstractNumId w:val="21"/>
  </w:num>
  <w:num w:numId="34" w16cid:durableId="477502277">
    <w:abstractNumId w:val="35"/>
  </w:num>
  <w:num w:numId="35" w16cid:durableId="965619219">
    <w:abstractNumId w:val="0"/>
  </w:num>
  <w:num w:numId="36" w16cid:durableId="1228420607">
    <w:abstractNumId w:val="5"/>
  </w:num>
  <w:num w:numId="37" w16cid:durableId="146477802">
    <w:abstractNumId w:val="16"/>
  </w:num>
  <w:num w:numId="38" w16cid:durableId="1262762631">
    <w:abstractNumId w:val="29"/>
  </w:num>
  <w:num w:numId="39" w16cid:durableId="1666393155">
    <w:abstractNumId w:val="11"/>
  </w:num>
  <w:num w:numId="40" w16cid:durableId="1403285540">
    <w:abstractNumId w:val="26"/>
  </w:num>
  <w:num w:numId="41" w16cid:durableId="1676421830">
    <w:abstractNumId w:val="33"/>
  </w:num>
  <w:num w:numId="42" w16cid:durableId="128517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A26CD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0F8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A1B4C"/>
    <w:rsid w:val="004B08C1"/>
    <w:rsid w:val="004C17CF"/>
    <w:rsid w:val="004E7FC1"/>
    <w:rsid w:val="004F243D"/>
    <w:rsid w:val="004F3163"/>
    <w:rsid w:val="00500ED8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A0284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07AE3"/>
    <w:rsid w:val="0072107C"/>
    <w:rsid w:val="00734D4E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0307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32A92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425F6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A769F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96B8E"/>
    <w:rsid w:val="00FA1549"/>
    <w:rsid w:val="00FA7A6E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Voimakas">
    <w:name w:val="Strong"/>
    <w:basedOn w:val="Kappaleenoletusfontti"/>
    <w:uiPriority w:val="22"/>
    <w:qFormat/>
    <w:rsid w:val="00EA769F"/>
    <w:rPr>
      <w:b/>
      <w:bCs/>
    </w:rPr>
  </w:style>
  <w:style w:type="table" w:customStyle="1" w:styleId="Yksinkertainentaulukko311">
    <w:name w:val="Yksinkertainen taulukko 311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2">
    <w:name w:val="Yksinkertainen taulukko 312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3">
    <w:name w:val="Yksinkertainen taulukko 313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r.org/-/media/ACR/Files/Clinical-Resources/Contrast_Media.pdf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iddk.nih.gov/health-information/professionals/clinical-tools-patient-management/kidney-disease/laboratory-evaluation/glomerular-filtration-rate-calculators/children-si-uni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.oysnet.ppshp.fi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1527</Value>
      <Value>1067</Value>
      <Value>44</Value>
      <Value>42</Value>
      <Value>41</Value>
      <Value>617</Value>
      <Value>1329</Value>
      <Value>2688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i:0#.w|oysnet\kiviahma</DisplayName>
        <AccountId>342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PPSHP-1249379545-2132</_dlc_DocId>
    <_dlc_DocIdPersistId xmlns="d3e50268-7799-48af-83c3-9a9b063078bc">false</_dlc_DocIdPersistId>
    <_dlc_DocIdUrl xmlns="d3e50268-7799-48af-83c3-9a9b063078bc">
      <Url>https://julkaisu.oysnet.ppshp.fi/_layouts/15/DocIdRedir.aspx?ID=PPSHP-1249379545-2132</Url>
      <Description>PPSHP-1249379545-2132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b4b6cf5-75ed-4a36-b44a-d4264faaec16"/>
    <ds:schemaRef ds:uri="http://purl.org/dc/elements/1.1/"/>
    <ds:schemaRef ds:uri="d3e50268-7799-48af-83c3-9a9b063078bc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506E3-D8E6-41CE-A639-2E7218C1A40E}"/>
</file>

<file path=customXml/itemProps4.xml><?xml version="1.0" encoding="utf-8"?>
<ds:datastoreItem xmlns:ds="http://schemas.openxmlformats.org/officeDocument/2006/customXml" ds:itemID="{0D9AE5C7-9EAE-41EF-9216-9963EB62089A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491C08-21AB-4783-A608-69942FDC65B5}"/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2</Pages>
  <Words>348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Keskuslaskimoportin käyttö kuvantamistutkimuksissa kuv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Kontrastiaineen käyttö ja GFRn laskeminen lapsella kuv til</dc:title>
  <dc:subject/>
  <dc:creator/>
  <cp:keywords/>
  <dc:description/>
  <cp:lastModifiedBy/>
  <cp:revision>1</cp:revision>
  <dcterms:created xsi:type="dcterms:W3CDTF">2025-01-29T09:00:00Z</dcterms:created>
  <dcterms:modified xsi:type="dcterms:W3CDTF">2025-01-29T09:00:00Z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986;#Kuvantamisen lääke-, varjo-, tai merkkiaineohje|bd9b1ce9-1a37-41bb-97f5-966abb5754f4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fb8a57ec-06c7-4f6a-a2f9-04ce71fabb25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1527;#5.8.1 Hoito-ohjeet|e7df8190-5083-4ca9-bf1d-9f22ac04ec87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41;#Kuvantaminen|13fd9652-4cc4-4c00-9faf-49cd9c600ecb;#2688;#Pohde|3bd1eb7d-6289-427a-a46c-d4e835e69ad1</vt:lpwstr>
  </property>
  <property fmtid="{D5CDD505-2E9C-101B-9397-08002B2CF9AE}" pid="36" name="Order">
    <vt:r8>213200</vt:r8>
  </property>
  <property fmtid="{D5CDD505-2E9C-101B-9397-08002B2CF9AE}" pid="38" name="_SourceUrl">
    <vt:lpwstr/>
  </property>
  <property fmtid="{D5CDD505-2E9C-101B-9397-08002B2CF9AE}" pid="39" name="_SharedFileIndex">
    <vt:lpwstr/>
  </property>
  <property fmtid="{D5CDD505-2E9C-101B-9397-08002B2CF9AE}" pid="40" name="TaxKeywordTaxHTField">
    <vt:lpwstr/>
  </property>
  <property fmtid="{D5CDD505-2E9C-101B-9397-08002B2CF9AE}" pid="41" name="SharedWithUsers">
    <vt:lpwstr/>
  </property>
</Properties>
</file>